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777"/>
        <w:ind w:firstLine="300"/>
        <w:spacing w:line="360" w:lineRule="auto"/>
        <w:rPr>
          <w:sz w:val="60"/>
          <w:szCs w:val="60"/>
          <w:highlight w:val="none"/>
        </w:rPr>
      </w:pPr>
      <w:r>
        <w:rPr>
          <w:sz w:val="60"/>
          <w:szCs w:val="60"/>
          <w:highlight w:val="none"/>
        </w:rPr>
      </w:r>
      <w:r/>
    </w:p>
    <w:p>
      <w:pPr>
        <w:pStyle w:val="777"/>
        <w:jc w:val="center"/>
        <w:rPr>
          <w:rFonts w:hint="eastAsia" w:eastAsia="宋体"/>
          <w:b/>
          <w:bCs/>
          <w:sz w:val="60"/>
          <w:szCs w:val="60"/>
          <w:highlight w:val="none"/>
          <w:lang w:eastAsia="zh-CN"/>
        </w:rPr>
      </w:pPr>
      <w:r>
        <w:rPr>
          <w:rFonts w:hint="eastAsia"/>
          <w:b/>
          <w:bCs/>
          <w:sz w:val="60"/>
          <w:szCs w:val="60"/>
          <w:highlight w:val="none"/>
          <w:lang w:eastAsia="zh-CN"/>
        </w:rPr>
        <w:t xml:space="preserve">2026年滨开区生态环境监测服务</w:t>
      </w:r>
      <w:r>
        <w:rPr>
          <w:rFonts w:hint="eastAsia" w:eastAsia="宋体"/>
          <w:b/>
          <w:bCs/>
          <w:sz w:val="60"/>
          <w:szCs w:val="60"/>
          <w:highlight w:val="none"/>
          <w:lang w:eastAsia="zh-CN"/>
        </w:rPr>
      </w:r>
      <w:r/>
    </w:p>
    <w:p>
      <w:pPr>
        <w:pStyle w:val="777"/>
        <w:jc w:val="center"/>
        <w:rPr>
          <w:rFonts w:hint="eastAsia"/>
          <w:b/>
          <w:bCs/>
          <w:sz w:val="60"/>
          <w:szCs w:val="60"/>
          <w:highlight w:val="none"/>
        </w:rPr>
      </w:pPr>
      <w:r>
        <w:rPr>
          <w:rFonts w:hint="eastAsia"/>
          <w:b/>
          <w:bCs/>
          <w:sz w:val="60"/>
          <w:szCs w:val="60"/>
          <w:highlight w:val="none"/>
        </w:rPr>
      </w:r>
      <w:r/>
    </w:p>
    <w:p>
      <w:pPr>
        <w:pStyle w:val="777"/>
        <w:jc w:val="center"/>
        <w:rPr>
          <w:rFonts w:hint="eastAsia"/>
          <w:b/>
          <w:bCs/>
          <w:sz w:val="60"/>
          <w:szCs w:val="60"/>
          <w:highlight w:val="none"/>
        </w:rPr>
      </w:pPr>
      <w:r>
        <w:rPr>
          <w:rFonts w:hint="eastAsia"/>
          <w:b/>
          <w:bCs/>
          <w:sz w:val="60"/>
          <w:szCs w:val="60"/>
          <w:highlight w:val="none"/>
        </w:rPr>
      </w:r>
      <w:r/>
    </w:p>
    <w:p>
      <w:pPr>
        <w:pStyle w:val="777"/>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777"/>
        <w:jc w:val="center"/>
        <w:rPr>
          <w:b/>
          <w:bCs/>
          <w:sz w:val="60"/>
          <w:szCs w:val="60"/>
          <w:highlight w:val="none"/>
        </w:rPr>
      </w:pPr>
      <w:r>
        <w:rPr>
          <w:b/>
          <w:bCs/>
          <w:sz w:val="60"/>
          <w:szCs w:val="60"/>
          <w:highlight w:val="none"/>
        </w:rPr>
      </w:r>
      <w:r/>
    </w:p>
    <w:p>
      <w:pPr>
        <w:pStyle w:val="777"/>
        <w:jc w:val="center"/>
        <w:spacing w:line="360" w:lineRule="auto"/>
        <w:rPr>
          <w:sz w:val="60"/>
          <w:szCs w:val="60"/>
          <w:highlight w:val="none"/>
        </w:rPr>
      </w:pPr>
      <w:r>
        <w:rPr>
          <w:sz w:val="60"/>
          <w:szCs w:val="60"/>
          <w:highlight w:val="none"/>
        </w:rPr>
      </w:r>
      <w:r/>
    </w:p>
    <w:p>
      <w:pPr>
        <w:pStyle w:val="777"/>
        <w:ind w:left="2832" w:hanging="1900"/>
        <w:jc w:val="left"/>
        <w:spacing w:line="360" w:lineRule="auto"/>
        <w:tabs>
          <w:tab w:val="left" w:pos="5609" w:leader="none"/>
        </w:tabs>
        <w:rPr>
          <w:rFonts w:hint="eastAsia"/>
          <w:bCs/>
          <w:sz w:val="36"/>
          <w:szCs w:val="36"/>
          <w:highlight w:val="none"/>
        </w:rPr>
      </w:pPr>
      <w:r>
        <w:rPr>
          <w:bCs/>
          <w:sz w:val="36"/>
          <w:szCs w:val="36"/>
          <w:highlight w:val="none"/>
        </w:rPr>
        <w:t xml:space="preserve">项目名称：</w:t>
      </w:r>
      <w:r>
        <w:rPr>
          <w:rFonts w:hint="eastAsia"/>
          <w:bCs/>
          <w:sz w:val="36"/>
          <w:szCs w:val="36"/>
          <w:highlight w:val="none"/>
          <w:lang w:eastAsia="zh-CN"/>
        </w:rPr>
        <w:t xml:space="preserve">2026年滨开区生态环境监测服务</w:t>
      </w:r>
      <w:r>
        <w:rPr>
          <w:rFonts w:hint="eastAsia"/>
          <w:bCs/>
          <w:sz w:val="36"/>
          <w:szCs w:val="36"/>
          <w:highlight w:val="none"/>
        </w:rPr>
      </w:r>
      <w:r/>
    </w:p>
    <w:p>
      <w:pPr>
        <w:pStyle w:val="777"/>
        <w:ind w:left="2832" w:hanging="1900"/>
        <w:jc w:val="left"/>
        <w:spacing w:line="360" w:lineRule="auto"/>
        <w:tabs>
          <w:tab w:val="left" w:pos="3240" w:leader="none"/>
          <w:tab w:val="left" w:pos="3420" w:leader="none"/>
        </w:tabs>
        <w:rPr>
          <w:rFonts w:eastAsia="宋体"/>
          <w:bCs/>
          <w:sz w:val="36"/>
          <w:szCs w:val="36"/>
          <w:highlight w:val="none"/>
          <w:lang w:val="en-US" w:eastAsia="zh-CN"/>
        </w:rPr>
      </w:pPr>
      <w:r>
        <w:rPr>
          <w:bCs/>
          <w:sz w:val="36"/>
          <w:szCs w:val="36"/>
          <w:highlight w:val="none"/>
        </w:rPr>
        <w:t xml:space="preserve">项目编号</w:t>
      </w:r>
      <w:r>
        <w:rPr>
          <w:rFonts w:hint="eastAsia"/>
          <w:bCs/>
          <w:sz w:val="36"/>
          <w:szCs w:val="36"/>
          <w:highlight w:val="none"/>
          <w:lang w:eastAsia="zh-CN"/>
        </w:rPr>
        <w:t xml:space="preserve">：</w:t>
      </w:r>
      <w:r>
        <w:rPr>
          <w:rFonts w:hint="eastAsia"/>
          <w:bCs/>
          <w:sz w:val="36"/>
          <w:szCs w:val="36"/>
          <w:highlight w:val="none"/>
          <w:lang w:val="en-US" w:eastAsia="zh-CN"/>
        </w:rPr>
        <w:t xml:space="preserve">JSZC-320411001-CZCY-G2026-0001</w:t>
      </w:r>
      <w:r>
        <w:rPr>
          <w:rFonts w:hint="eastAsia"/>
          <w:bCs/>
          <w:sz w:val="36"/>
          <w:szCs w:val="36"/>
          <w:highlight w:val="none"/>
          <w:lang w:val="en-US" w:eastAsia="zh-CN"/>
        </w:rPr>
        <w:t xml:space="preserve">  </w:t>
      </w:r>
      <w:r>
        <w:rPr>
          <w:rFonts w:eastAsia="宋体"/>
          <w:bCs/>
          <w:sz w:val="36"/>
          <w:szCs w:val="36"/>
          <w:highlight w:val="none"/>
          <w:lang w:val="en-US" w:eastAsia="zh-CN"/>
        </w:rPr>
      </w:r>
      <w:r/>
    </w:p>
    <w:p>
      <w:pPr>
        <w:pStyle w:val="777"/>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江苏常州滨江经济开发区管理委员会</w:t>
      </w:r>
      <w:r>
        <w:rPr>
          <w:rFonts w:hint="eastAsia" w:eastAsia="宋体"/>
          <w:bCs/>
          <w:sz w:val="36"/>
          <w:szCs w:val="36"/>
          <w:highlight w:val="none"/>
          <w:lang w:eastAsia="zh-CN"/>
        </w:rPr>
      </w:r>
      <w:r/>
    </w:p>
    <w:p>
      <w:pPr>
        <w:pStyle w:val="777"/>
        <w:ind w:left="2832" w:hanging="190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常州承宇工程顾问有限公司</w:t>
      </w:r>
      <w:r>
        <w:rPr>
          <w:bCs/>
          <w:sz w:val="36"/>
          <w:szCs w:val="36"/>
          <w:highlight w:val="none"/>
        </w:rPr>
        <w:t xml:space="preserve"> </w:t>
      </w:r>
      <w:r>
        <w:rPr>
          <w:bCs/>
          <w:sz w:val="36"/>
          <w:szCs w:val="36"/>
          <w:highlight w:val="none"/>
        </w:rPr>
      </w:r>
      <w:r/>
    </w:p>
    <w:p>
      <w:pPr>
        <w:pStyle w:val="777"/>
        <w:jc w:val="center"/>
        <w:spacing w:line="500" w:lineRule="exact"/>
        <w:rPr>
          <w:b/>
          <w:sz w:val="36"/>
          <w:szCs w:val="36"/>
          <w:highlight w:val="none"/>
        </w:rPr>
      </w:pPr>
      <w:r>
        <w:rPr>
          <w:b/>
          <w:bCs/>
          <w:sz w:val="44"/>
          <w:highlight w:val="none"/>
        </w:rPr>
        <w:br w:type="page" w:clear="all"/>
      </w:r>
      <w:bookmarkStart w:id="0" w:name="_Toc99301418"/>
      <w:r>
        <w:rPr>
          <w:b/>
          <w:sz w:val="36"/>
          <w:szCs w:val="36"/>
          <w:highlight w:val="none"/>
        </w:rPr>
        <w:t xml:space="preserve">目      录</w:t>
      </w:r>
      <w:bookmarkEnd w:id="0"/>
      <w:r>
        <w:rPr>
          <w:b/>
          <w:sz w:val="36"/>
          <w:szCs w:val="36"/>
          <w:highlight w:val="none"/>
        </w:rPr>
      </w:r>
      <w:r/>
    </w:p>
    <w:p>
      <w:pPr>
        <w:pStyle w:val="777"/>
        <w:rPr>
          <w:highlight w:val="none"/>
        </w:rPr>
      </w:pPr>
      <w:r>
        <w:rPr>
          <w:highlight w:val="none"/>
        </w:rPr>
      </w:r>
      <w:r/>
    </w:p>
    <w:p>
      <w:pPr>
        <w:pStyle w:val="777"/>
        <w:rPr>
          <w:highlight w:val="none"/>
        </w:rPr>
      </w:pPr>
      <w:r>
        <w:rPr>
          <w:highlight w:val="none"/>
        </w:rPr>
      </w:r>
      <w:r/>
    </w:p>
    <w:p>
      <w:pPr>
        <w:pStyle w:val="777"/>
        <w:rPr>
          <w:highlight w:val="none"/>
        </w:rPr>
      </w:pPr>
      <w:r>
        <w:rPr>
          <w:highlight w:val="none"/>
        </w:rPr>
      </w:r>
      <w:r/>
    </w:p>
    <w:p>
      <w:pPr>
        <w:pStyle w:val="829"/>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829"/>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853"/>
          <w:rFonts w:ascii="Times New Roman" w:hAnsi="Times New Roman"/>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29"/>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853"/>
          <w:rFonts w:ascii="Times New Roman" w:hAnsi="Times New Roman"/>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29"/>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853"/>
          <w:rFonts w:ascii="Times New Roman" w:hAnsi="Times New Roman"/>
          <w:highlight w:val="none"/>
        </w:rPr>
        <w:t xml:space="preserve">第三章   资</w:t>
      </w:r>
      <w:bookmarkStart w:id="1" w:name="_Hlt100754117"/>
      <w:r>
        <w:rPr>
          <w:rStyle w:val="853"/>
          <w:rFonts w:ascii="Times New Roman" w:hAnsi="Times New Roman"/>
          <w:highlight w:val="none"/>
        </w:rPr>
        <w:t xml:space="preserve">格</w:t>
      </w:r>
      <w:bookmarkEnd w:id="1"/>
      <w:r>
        <w:rPr>
          <w:rStyle w:val="853"/>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21</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29"/>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853"/>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23</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29"/>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853"/>
          <w:rFonts w:ascii="Times New Roman" w:hAnsi="Times New Roman"/>
          <w:highlight w:val="none"/>
        </w:rPr>
        <w:t xml:space="preserve">第五章   采购</w:t>
      </w:r>
      <w:bookmarkStart w:id="2" w:name="_Hlt100754102"/>
      <w:r/>
      <w:bookmarkStart w:id="3" w:name="_Hlt100754103"/>
      <w:r>
        <w:rPr>
          <w:rStyle w:val="853"/>
          <w:rFonts w:ascii="Times New Roman" w:hAnsi="Times New Roman"/>
          <w:highlight w:val="none"/>
        </w:rPr>
        <w:t xml:space="preserve">需</w:t>
      </w:r>
      <w:bookmarkEnd w:id="2"/>
      <w:r/>
      <w:bookmarkEnd w:id="3"/>
      <w:r>
        <w:rPr>
          <w:rStyle w:val="853"/>
          <w:rFonts w:ascii="Times New Roman" w:hAnsi="Times New Roman"/>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34</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29"/>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853"/>
          <w:rFonts w:ascii="Times New Roman" w:hAnsi="Times New Roman"/>
          <w:highlight w:val="none"/>
        </w:rPr>
        <w:t xml:space="preserve">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 xml:space="preserve">37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29"/>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853"/>
          <w:rFonts w:ascii="Times New Roman" w:hAnsi="Times New Roman"/>
          <w:highlight w:val="none"/>
        </w:rPr>
        <w:t xml:space="preserve">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 xml:space="preserve">42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29"/>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777"/>
        <w:jc w:val="center"/>
        <w:spacing w:line="360" w:lineRule="auto"/>
        <w:rPr>
          <w:b/>
          <w:sz w:val="36"/>
          <w:szCs w:val="36"/>
          <w:highlight w:val="none"/>
        </w:rPr>
        <w:outlineLvl w:val="0"/>
      </w:pPr>
      <w:r>
        <w:rPr>
          <w:sz w:val="24"/>
          <w:highlight w:val="none"/>
        </w:rPr>
        <w:br w:type="page" w:clear="all"/>
      </w:r>
      <w:bookmarkStart w:id="4" w:name="_Toc99301419"/>
      <w:r>
        <w:rPr>
          <w:b/>
          <w:sz w:val="36"/>
          <w:szCs w:val="36"/>
          <w:highlight w:val="none"/>
        </w:rPr>
        <w:t xml:space="preserve">第一章   投标邀请</w:t>
      </w:r>
      <w:bookmarkEnd w:id="4"/>
      <w:r>
        <w:rPr>
          <w:b/>
          <w:sz w:val="36"/>
          <w:szCs w:val="36"/>
          <w:highlight w:val="none"/>
        </w:rPr>
      </w:r>
      <w:r/>
    </w:p>
    <w:p>
      <w:pPr>
        <w:pStyle w:val="777"/>
        <w:ind w:firstLine="640"/>
        <w:spacing w:line="360" w:lineRule="auto"/>
        <w:rPr>
          <w:sz w:val="32"/>
          <w:szCs w:val="32"/>
          <w:highlight w:val="none"/>
        </w:rPr>
      </w:pPr>
      <w:r>
        <w:rPr>
          <w:sz w:val="32"/>
          <w:szCs w:val="32"/>
          <w:highlight w:val="none"/>
        </w:rPr>
      </w:r>
      <w:r/>
    </w:p>
    <w:p>
      <w:pPr>
        <w:pStyle w:val="777"/>
        <w:spacing w:line="360" w:lineRule="auto"/>
        <w:rPr>
          <w:rFonts w:hint="eastAsia" w:ascii="宋体" w:hAnsi="宋体"/>
          <w:b/>
          <w:bCs/>
          <w:sz w:val="24"/>
          <w:highlight w:val="none"/>
        </w:rPr>
      </w:pPr>
      <w:r>
        <w:rPr>
          <w:rFonts w:hint="eastAsia" w:ascii="宋体" w:hAnsi="宋体"/>
          <w:b/>
          <w:bCs/>
          <w:sz w:val="24"/>
          <w:highlight w:val="none"/>
        </w:rPr>
        <w:t xml:space="preserve">一、项目基本情况</w:t>
      </w:r>
      <w:r>
        <w:rPr>
          <w:rFonts w:hint="eastAsia" w:ascii="宋体" w:hAnsi="宋体"/>
          <w:b/>
          <w:bCs/>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JSZC-320411001-CZCY-G2026-0001</w:t>
      </w:r>
      <w:r>
        <w:rPr>
          <w:rFonts w:hint="eastAsia" w:ascii="宋体" w:hAnsi="宋体" w:cs="宋体"/>
          <w:sz w:val="24"/>
          <w:highlight w:val="none"/>
          <w:u w:val="single"/>
          <w:lang w:eastAsia="zh-CN"/>
        </w:rPr>
        <w:t xml:space="preserve"> </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2.项目名称：</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2026年滨开区生态环境监测服务</w:t>
      </w:r>
      <w:r>
        <w:rPr>
          <w:rFonts w:hint="eastAsia" w:ascii="宋体" w:hAnsi="宋体" w:cs="宋体"/>
          <w:sz w:val="24"/>
          <w:highlight w:val="none"/>
          <w:u w:val="single"/>
        </w:rPr>
        <w:t xml:space="preserve"> </w:t>
      </w:r>
      <w:r>
        <w:rPr>
          <w:rFonts w:hint="eastAsia" w:ascii="宋体" w:hAnsi="宋体" w:cs="宋体"/>
          <w:sz w:val="24"/>
          <w:highlight w:val="none"/>
        </w:rPr>
      </w:r>
      <w:r/>
    </w:p>
    <w:p>
      <w:pPr>
        <w:pStyle w:val="777"/>
        <w:ind w:firstLine="480"/>
        <w:spacing w:line="360" w:lineRule="auto"/>
        <w:rPr>
          <w:rFonts w:ascii="宋体" w:hAnsi="宋体" w:eastAsia="宋体" w:cs="宋体"/>
          <w:sz w:val="24"/>
          <w:highlight w:val="none"/>
          <w:u w:val="single"/>
          <w:lang w:val="en-US" w:eastAsia="zh-CN"/>
        </w:rPr>
      </w:pPr>
      <w:r>
        <w:rPr>
          <w:rFonts w:hint="eastAsia" w:ascii="宋体" w:hAnsi="宋体" w:cs="宋体"/>
          <w:sz w:val="24"/>
          <w:highlight w:val="none"/>
        </w:rPr>
        <w:t xml:space="preserve">3.项目预算金额：</w:t>
      </w:r>
      <w:r>
        <w:rPr>
          <w:rFonts w:hint="eastAsia" w:ascii="宋体" w:hAnsi="宋体" w:cs="宋体"/>
          <w:sz w:val="24"/>
          <w:highlight w:val="none"/>
          <w:u w:val="single"/>
        </w:rPr>
        <w:t xml:space="preserve">人民币</w:t>
      </w:r>
      <w:r>
        <w:rPr>
          <w:rFonts w:hint="eastAsia" w:ascii="宋体" w:hAnsi="宋体" w:cs="宋体"/>
          <w:sz w:val="24"/>
          <w:highlight w:val="none"/>
          <w:u w:val="single"/>
          <w:lang w:val="en-US" w:eastAsia="zh-CN"/>
        </w:rPr>
        <w:t xml:space="preserve">300万元</w:t>
      </w:r>
      <w:r>
        <w:rPr>
          <w:rFonts w:hint="eastAsia" w:ascii="宋体" w:hAnsi="宋体" w:cs="宋体"/>
          <w:sz w:val="24"/>
          <w:highlight w:val="none"/>
          <w:u w:val="single"/>
        </w:rPr>
        <w:t xml:space="preserve">。</w:t>
      </w:r>
      <w:r>
        <w:rPr>
          <w:rFonts w:ascii="宋体" w:hAnsi="宋体" w:eastAsia="宋体" w:cs="宋体"/>
          <w:sz w:val="24"/>
          <w:highlight w:val="none"/>
          <w:u w:val="single"/>
          <w:lang w:val="en-US" w:eastAsia="zh-CN"/>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项目最高限价：</w:t>
      </w:r>
      <w:r>
        <w:rPr>
          <w:rFonts w:hint="eastAsia" w:ascii="宋体" w:hAnsi="宋体" w:cs="宋体"/>
          <w:sz w:val="24"/>
          <w:highlight w:val="none"/>
          <w:u w:val="single"/>
          <w:lang w:val="en-US" w:eastAsia="zh-CN"/>
        </w:rPr>
        <w:t xml:space="preserve">本项目以优惠率报价。</w:t>
      </w:r>
      <w:r>
        <w:rPr>
          <w:rFonts w:hint="eastAsia" w:ascii="宋体" w:hAnsi="宋体" w:cs="宋体"/>
          <w:sz w:val="24"/>
          <w:highlight w:val="none"/>
          <w:u w:val="single"/>
          <w:lang w:val="en-US" w:eastAsia="zh-CN"/>
        </w:rPr>
        <w:t xml:space="preserve">以《江苏省环境监测专业服务管理办法》、《江苏省环境监测专业服务收费标准》（苏价费[2006]397号）和《省物价局、省财政厅关于降低收费标准和实施收费减免的通知》（以下简称收费标准）为参照，投标人报出优惠率，优惠率不得低于或等于40%，否则作为无效投标</w:t>
      </w:r>
      <w:r>
        <w:rPr>
          <w:rFonts w:hint="eastAsia" w:ascii="宋体" w:hAnsi="宋体" w:cs="宋体"/>
          <w:sz w:val="24"/>
          <w:highlight w:val="none"/>
          <w:u w:val="single"/>
        </w:rPr>
        <w:t xml:space="preserve">。</w:t>
      </w:r>
      <w:r>
        <w:rPr>
          <w:rFonts w:hint="eastAsia" w:ascii="宋体" w:hAnsi="宋体" w:cs="宋体"/>
          <w:sz w:val="24"/>
          <w:highlight w:val="none"/>
        </w:rPr>
      </w:r>
      <w:r/>
    </w:p>
    <w:p>
      <w:pPr>
        <w:pStyle w:val="777"/>
        <w:ind w:firstLine="480"/>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.采购需求：</w:t>
      </w:r>
      <w:r>
        <w:rPr>
          <w:rFonts w:ascii="宋体" w:hAnsi="宋体" w:eastAsia="宋体" w:cs="宋体"/>
          <w:sz w:val="24"/>
          <w:highlight w:val="none"/>
          <w:lang w:val="en-US" w:eastAsia="zh-CN"/>
        </w:rPr>
      </w:r>
      <w:r/>
    </w:p>
    <w:tbl>
      <w:tblPr>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8"/>
        <w:gridCol w:w="2970"/>
        <w:gridCol w:w="1515"/>
        <w:gridCol w:w="765"/>
        <w:gridCol w:w="2920"/>
      </w:tblGrid>
      <w:tr>
        <w:trPr>
          <w:trHeight w:val="454"/>
        </w:trPr>
        <w:tc>
          <w:tcPr>
            <w:tcW w:w="1118" w:type="dxa"/>
            <w:vAlign w:val="center"/>
            <w:textDirection w:val="lrTb"/>
            <w:noWrap w:val="false"/>
          </w:tcPr>
          <w:p>
            <w:pPr>
              <w:pStyle w:val="777"/>
              <w:jc w:val="center"/>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 xml:space="preserve">序号</w:t>
            </w:r>
            <w:r>
              <w:rPr>
                <w:rFonts w:hint="eastAsia" w:ascii="宋体" w:hAnsi="宋体" w:eastAsia="宋体" w:cs="宋体"/>
                <w:bCs/>
                <w:sz w:val="24"/>
                <w:highlight w:val="none"/>
                <w:lang w:eastAsia="zh-CN"/>
              </w:rPr>
            </w:r>
            <w:r/>
          </w:p>
        </w:tc>
        <w:tc>
          <w:tcPr>
            <w:tcW w:w="2970" w:type="dxa"/>
            <w:vAlign w:val="center"/>
            <w:textDirection w:val="lrTb"/>
            <w:noWrap w:val="false"/>
          </w:tcPr>
          <w:p>
            <w:pPr>
              <w:pStyle w:val="777"/>
              <w:jc w:val="center"/>
              <w:rPr>
                <w:rFonts w:hint="eastAsia" w:ascii="宋体" w:hAnsi="宋体" w:cs="宋体"/>
                <w:bCs/>
                <w:sz w:val="24"/>
                <w:highlight w:val="none"/>
              </w:rPr>
            </w:pPr>
            <w:r>
              <w:rPr>
                <w:rFonts w:hint="eastAsia" w:ascii="宋体" w:hAnsi="宋体" w:cs="宋体"/>
                <w:bCs/>
                <w:sz w:val="24"/>
                <w:highlight w:val="none"/>
                <w:lang w:val="en-US" w:eastAsia="zh-CN"/>
              </w:rPr>
              <w:t xml:space="preserve">项目</w:t>
            </w:r>
            <w:r>
              <w:rPr>
                <w:rFonts w:hint="eastAsia" w:ascii="宋体" w:hAnsi="宋体" w:cs="宋体"/>
                <w:bCs/>
                <w:sz w:val="24"/>
                <w:highlight w:val="none"/>
              </w:rPr>
              <w:t xml:space="preserve">名称</w:t>
            </w:r>
            <w:r>
              <w:rPr>
                <w:rFonts w:hint="eastAsia" w:ascii="宋体" w:hAnsi="宋体" w:cs="宋体"/>
                <w:bCs/>
                <w:sz w:val="24"/>
                <w:highlight w:val="none"/>
              </w:rPr>
            </w:r>
            <w:r/>
          </w:p>
        </w:tc>
        <w:tc>
          <w:tcPr>
            <w:tcW w:w="1515" w:type="dxa"/>
            <w:vAlign w:val="center"/>
            <w:textDirection w:val="lrTb"/>
            <w:noWrap w:val="false"/>
          </w:tcPr>
          <w:p>
            <w:pPr>
              <w:pStyle w:val="777"/>
              <w:jc w:val="center"/>
              <w:rPr>
                <w:rFonts w:hint="eastAsia" w:ascii="宋体" w:hAnsi="宋体" w:cs="宋体"/>
                <w:bCs/>
                <w:sz w:val="24"/>
                <w:highlight w:val="none"/>
              </w:rPr>
            </w:pPr>
            <w:r>
              <w:rPr>
                <w:rFonts w:hint="eastAsia" w:ascii="宋体" w:hAnsi="宋体" w:cs="宋体"/>
                <w:bCs/>
                <w:sz w:val="24"/>
                <w:highlight w:val="none"/>
              </w:rPr>
              <w:t xml:space="preserve">采购包预算金额（万元）</w:t>
            </w:r>
            <w:r>
              <w:rPr>
                <w:rFonts w:hint="eastAsia" w:ascii="宋体" w:hAnsi="宋体" w:cs="宋体"/>
                <w:bCs/>
                <w:sz w:val="24"/>
                <w:highlight w:val="none"/>
              </w:rPr>
            </w:r>
            <w:r/>
          </w:p>
        </w:tc>
        <w:tc>
          <w:tcPr>
            <w:tcW w:w="765" w:type="dxa"/>
            <w:vAlign w:val="center"/>
            <w:textDirection w:val="lrTb"/>
            <w:noWrap w:val="false"/>
          </w:tcPr>
          <w:p>
            <w:pPr>
              <w:pStyle w:val="777"/>
              <w:jc w:val="center"/>
              <w:rPr>
                <w:rFonts w:hint="eastAsia" w:ascii="宋体" w:hAnsi="宋体" w:cs="宋体"/>
                <w:bCs/>
                <w:sz w:val="24"/>
                <w:highlight w:val="none"/>
              </w:rPr>
            </w:pPr>
            <w:r>
              <w:rPr>
                <w:rFonts w:hint="eastAsia" w:ascii="宋体" w:hAnsi="宋体" w:cs="宋体"/>
                <w:bCs/>
                <w:sz w:val="24"/>
                <w:highlight w:val="none"/>
              </w:rPr>
              <w:t xml:space="preserve">数量</w:t>
            </w:r>
            <w:r>
              <w:rPr>
                <w:rFonts w:hint="eastAsia" w:ascii="宋体" w:hAnsi="宋体" w:cs="宋体"/>
                <w:bCs/>
                <w:sz w:val="24"/>
                <w:highlight w:val="none"/>
              </w:rPr>
            </w:r>
            <w:r/>
          </w:p>
        </w:tc>
        <w:tc>
          <w:tcPr>
            <w:tcW w:w="2920"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sz w:val="24"/>
                <w:highlight w:val="none"/>
              </w:rPr>
              <w:t xml:space="preserve">简要技术需求或服务要求</w:t>
            </w:r>
            <w:r>
              <w:rPr>
                <w:rFonts w:hint="eastAsia" w:ascii="宋体" w:hAnsi="宋体" w:cs="宋体"/>
                <w:sz w:val="24"/>
                <w:highlight w:val="none"/>
              </w:rPr>
            </w:r>
            <w:r/>
          </w:p>
        </w:tc>
      </w:tr>
      <w:tr>
        <w:trPr>
          <w:trHeight w:val="454"/>
        </w:trPr>
        <w:tc>
          <w:tcPr>
            <w:tcW w:w="1118" w:type="dxa"/>
            <w:vAlign w:val="center"/>
            <w:textDirection w:val="lrTb"/>
            <w:noWrap w:val="false"/>
          </w:tcPr>
          <w:p>
            <w:pPr>
              <w:pStyle w:val="777"/>
              <w:jc w:val="center"/>
              <w:rPr>
                <w:rFonts w:ascii="宋体" w:hAnsi="宋体" w:cs="宋体"/>
                <w:bCs/>
                <w:sz w:val="24"/>
                <w:highlight w:val="none"/>
                <w:lang w:val="en-US"/>
              </w:rPr>
            </w:pP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1</w:t>
            </w:r>
            <w:r>
              <w:rPr>
                <w:rFonts w:ascii="宋体" w:hAnsi="宋体" w:cs="宋体"/>
                <w:bCs/>
                <w:sz w:val="24"/>
                <w:highlight w:val="none"/>
                <w:lang w:val="en-US"/>
              </w:rPr>
            </w:r>
            <w:r/>
          </w:p>
        </w:tc>
        <w:tc>
          <w:tcPr>
            <w:tcW w:w="2970" w:type="dxa"/>
            <w:vAlign w:val="center"/>
            <w:textDirection w:val="lrTb"/>
            <w:noWrap w:val="false"/>
          </w:tcPr>
          <w:p>
            <w:pPr>
              <w:pStyle w:val="777"/>
              <w:jc w:val="center"/>
              <w:rPr>
                <w:rFonts w:hint="eastAsia" w:ascii="宋体" w:hAnsi="宋体" w:eastAsia="宋体" w:cs="宋体"/>
                <w:bCs/>
                <w:sz w:val="24"/>
                <w:highlight w:val="none"/>
                <w:u w:val="none"/>
                <w:lang w:eastAsia="zh-CN"/>
              </w:rPr>
            </w:pPr>
            <w:r>
              <w:rPr>
                <w:rFonts w:hint="eastAsia" w:ascii="宋体" w:hAnsi="宋体" w:cs="宋体"/>
                <w:sz w:val="24"/>
                <w:highlight w:val="none"/>
                <w:u w:val="none"/>
                <w:lang w:eastAsia="zh-CN"/>
              </w:rPr>
              <w:t xml:space="preserve">2026年滨开区生态环境监测服务（</w:t>
            </w:r>
            <w:r>
              <w:rPr>
                <w:rFonts w:hint="eastAsia" w:ascii="宋体" w:hAnsi="宋体" w:cs="宋体"/>
                <w:sz w:val="24"/>
                <w:highlight w:val="none"/>
                <w:u w:val="none"/>
                <w:lang w:val="en-US" w:eastAsia="zh-CN"/>
              </w:rPr>
              <w:t xml:space="preserve">采购包一</w:t>
            </w:r>
            <w:r>
              <w:rPr>
                <w:rFonts w:hint="eastAsia" w:ascii="宋体" w:hAnsi="宋体" w:cs="宋体"/>
                <w:sz w:val="24"/>
                <w:highlight w:val="none"/>
                <w:u w:val="none"/>
                <w:lang w:eastAsia="zh-CN"/>
              </w:rPr>
              <w:t xml:space="preserve">）</w:t>
            </w:r>
            <w:r>
              <w:rPr>
                <w:rFonts w:hint="eastAsia" w:ascii="宋体" w:hAnsi="宋体" w:eastAsia="宋体" w:cs="宋体"/>
                <w:bCs/>
                <w:sz w:val="24"/>
                <w:highlight w:val="none"/>
                <w:u w:val="none"/>
                <w:lang w:eastAsia="zh-CN"/>
              </w:rPr>
            </w:r>
            <w:r/>
          </w:p>
        </w:tc>
        <w:tc>
          <w:tcPr>
            <w:tcW w:w="1515" w:type="dxa"/>
            <w:vAlign w:val="center"/>
            <w:textDirection w:val="lrTb"/>
            <w:noWrap w:val="false"/>
          </w:tcPr>
          <w:p>
            <w:pPr>
              <w:pStyle w:val="777"/>
              <w:jc w:val="center"/>
              <w:rPr>
                <w:rFonts w:ascii="宋体" w:hAnsi="宋体" w:eastAsia="宋体" w:cs="宋体"/>
                <w:bCs/>
                <w:sz w:val="24"/>
                <w:highlight w:val="none"/>
                <w:lang w:val="en-US" w:eastAsia="zh-CN"/>
              </w:rPr>
            </w:pPr>
            <w:r>
              <w:rPr>
                <w:rFonts w:hint="eastAsia" w:ascii="宋体" w:hAnsi="宋体" w:cs="宋体"/>
                <w:bCs/>
                <w:sz w:val="24"/>
                <w:highlight w:val="none"/>
              </w:rPr>
              <w:t xml:space="preserve">暂估</w:t>
            </w:r>
            <w:r>
              <w:rPr>
                <w:rFonts w:hint="eastAsia" w:ascii="宋体" w:hAnsi="宋体" w:cs="宋体"/>
                <w:bCs/>
                <w:sz w:val="24"/>
                <w:highlight w:val="none"/>
                <w:lang w:val="en-US" w:eastAsia="zh-CN"/>
              </w:rPr>
              <w:t xml:space="preserve">85</w:t>
            </w:r>
            <w:r>
              <w:rPr>
                <w:rFonts w:ascii="宋体" w:hAnsi="宋体" w:eastAsia="宋体" w:cs="宋体"/>
                <w:bCs/>
                <w:sz w:val="24"/>
                <w:highlight w:val="none"/>
                <w:lang w:val="en-US" w:eastAsia="zh-CN"/>
              </w:rPr>
            </w:r>
            <w:r/>
          </w:p>
        </w:tc>
        <w:tc>
          <w:tcPr>
            <w:tcW w:w="765" w:type="dxa"/>
            <w:vAlign w:val="center"/>
            <w:textDirection w:val="lrTb"/>
            <w:noWrap w:val="false"/>
          </w:tcPr>
          <w:p>
            <w:pPr>
              <w:pStyle w:val="777"/>
              <w:jc w:val="center"/>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r>
            <w:r/>
          </w:p>
        </w:tc>
        <w:tc>
          <w:tcPr>
            <w:tcW w:w="2920"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bCs/>
                <w:sz w:val="24"/>
                <w:highlight w:val="none"/>
                <w:lang w:eastAsia="zh-CN"/>
              </w:rPr>
              <w:t xml:space="preserve">对滨开区辖区内的河道、泵站、沟渠等水环境开展日常巡查监测及监测数据综合分析</w:t>
            </w:r>
            <w:r>
              <w:rPr>
                <w:rFonts w:hint="eastAsia" w:ascii="宋体" w:hAnsi="宋体" w:cs="宋体"/>
                <w:sz w:val="24"/>
                <w:highlight w:val="none"/>
              </w:rPr>
            </w:r>
            <w:r/>
          </w:p>
        </w:tc>
      </w:tr>
      <w:tr>
        <w:trPr>
          <w:trHeight w:val="454"/>
        </w:trPr>
        <w:tc>
          <w:tcPr>
            <w:tcW w:w="1118" w:type="dxa"/>
            <w:vAlign w:val="center"/>
            <w:textDirection w:val="lrTb"/>
            <w:noWrap w:val="false"/>
          </w:tcPr>
          <w:p>
            <w:pPr>
              <w:pStyle w:val="777"/>
              <w:jc w:val="center"/>
              <w:rPr>
                <w:rFonts w:ascii="宋体" w:hAnsi="宋体" w:cs="宋体"/>
                <w:bCs/>
                <w:sz w:val="24"/>
                <w:highlight w:val="none"/>
              </w:rPr>
            </w:pP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2</w:t>
            </w:r>
            <w:r>
              <w:rPr>
                <w:rFonts w:ascii="宋体" w:hAnsi="宋体" w:cs="宋体"/>
                <w:bCs/>
                <w:sz w:val="24"/>
                <w:highlight w:val="none"/>
              </w:rPr>
            </w:r>
            <w:r/>
          </w:p>
        </w:tc>
        <w:tc>
          <w:tcPr>
            <w:tcW w:w="2970" w:type="dxa"/>
            <w:vAlign w:val="center"/>
            <w:textDirection w:val="lrTb"/>
            <w:noWrap w:val="false"/>
          </w:tcPr>
          <w:p>
            <w:pPr>
              <w:pStyle w:val="777"/>
              <w:jc w:val="center"/>
              <w:rPr>
                <w:rFonts w:hint="eastAsia" w:ascii="宋体" w:hAnsi="宋体" w:cs="宋体"/>
                <w:bCs/>
                <w:sz w:val="24"/>
                <w:highlight w:val="none"/>
                <w:u w:val="none"/>
              </w:rPr>
            </w:pPr>
            <w:r>
              <w:rPr>
                <w:rFonts w:hint="eastAsia" w:ascii="宋体" w:hAnsi="宋体" w:cs="宋体"/>
                <w:sz w:val="24"/>
                <w:highlight w:val="none"/>
                <w:u w:val="none"/>
                <w:lang w:eastAsia="zh-CN"/>
              </w:rPr>
              <w:t xml:space="preserve">2026年滨开区生态环境监测服务（</w:t>
            </w:r>
            <w:r>
              <w:rPr>
                <w:rFonts w:hint="eastAsia" w:ascii="宋体" w:hAnsi="宋体" w:cs="宋体"/>
                <w:sz w:val="24"/>
                <w:highlight w:val="none"/>
                <w:u w:val="none"/>
                <w:lang w:val="en-US" w:eastAsia="zh-CN"/>
              </w:rPr>
              <w:t xml:space="preserve">采购包二</w:t>
            </w:r>
            <w:r>
              <w:rPr>
                <w:rFonts w:hint="eastAsia" w:ascii="宋体" w:hAnsi="宋体" w:cs="宋体"/>
                <w:sz w:val="24"/>
                <w:highlight w:val="none"/>
                <w:u w:val="none"/>
                <w:lang w:eastAsia="zh-CN"/>
              </w:rPr>
              <w:t xml:space="preserve">）</w:t>
            </w:r>
            <w:r>
              <w:rPr>
                <w:rFonts w:hint="eastAsia" w:ascii="宋体" w:hAnsi="宋体" w:cs="宋体"/>
                <w:bCs/>
                <w:sz w:val="24"/>
                <w:highlight w:val="none"/>
                <w:u w:val="none"/>
              </w:rPr>
            </w:r>
            <w:r/>
          </w:p>
        </w:tc>
        <w:tc>
          <w:tcPr>
            <w:tcW w:w="1515" w:type="dxa"/>
            <w:vAlign w:val="center"/>
            <w:textDirection w:val="lrTb"/>
            <w:noWrap w:val="false"/>
          </w:tcPr>
          <w:p>
            <w:pPr>
              <w:pStyle w:val="777"/>
              <w:jc w:val="center"/>
              <w:rPr>
                <w:rFonts w:ascii="宋体" w:hAnsi="宋体" w:eastAsia="宋体" w:cs="宋体"/>
                <w:bCs/>
                <w:sz w:val="24"/>
                <w:highlight w:val="none"/>
                <w:lang w:val="en-US" w:eastAsia="zh-CN"/>
              </w:rPr>
            </w:pPr>
            <w:r>
              <w:rPr>
                <w:rFonts w:hint="eastAsia" w:ascii="宋体" w:hAnsi="宋体" w:cs="宋体"/>
                <w:bCs/>
                <w:sz w:val="24"/>
                <w:highlight w:val="none"/>
              </w:rPr>
              <w:t xml:space="preserve">暂估</w:t>
            </w:r>
            <w:r>
              <w:rPr>
                <w:rFonts w:hint="eastAsia" w:ascii="宋体" w:hAnsi="宋体" w:cs="宋体"/>
                <w:bCs/>
                <w:sz w:val="24"/>
                <w:highlight w:val="none"/>
                <w:lang w:val="en-US" w:eastAsia="zh-CN"/>
              </w:rPr>
              <w:t xml:space="preserve">85</w:t>
            </w:r>
            <w:r>
              <w:rPr>
                <w:rFonts w:ascii="宋体" w:hAnsi="宋体" w:eastAsia="宋体" w:cs="宋体"/>
                <w:bCs/>
                <w:sz w:val="24"/>
                <w:highlight w:val="none"/>
                <w:lang w:val="en-US" w:eastAsia="zh-CN"/>
              </w:rPr>
            </w:r>
            <w:r/>
          </w:p>
        </w:tc>
        <w:tc>
          <w:tcPr>
            <w:tcW w:w="765" w:type="dxa"/>
            <w:vAlign w:val="center"/>
            <w:textDirection w:val="lrTb"/>
            <w:noWrap w:val="false"/>
          </w:tcPr>
          <w:p>
            <w:pPr>
              <w:pStyle w:val="777"/>
              <w:jc w:val="center"/>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r>
            <w:r/>
          </w:p>
        </w:tc>
        <w:tc>
          <w:tcPr>
            <w:tcW w:w="2920" w:type="dxa"/>
            <w:vAlign w:val="center"/>
            <w:textDirection w:val="lrTb"/>
            <w:noWrap w:val="false"/>
          </w:tcPr>
          <w:p>
            <w:pPr>
              <w:pStyle w:val="777"/>
              <w:jc w:val="center"/>
              <w:rPr>
                <w:rFonts w:ascii="宋体" w:hAnsi="宋体" w:cs="宋体"/>
                <w:sz w:val="24"/>
                <w:highlight w:val="none"/>
                <w:lang w:val="en-US"/>
              </w:rPr>
            </w:pPr>
            <w:r>
              <w:rPr>
                <w:rFonts w:ascii="Times New Roman" w:hAnsi="Times New Roman" w:eastAsia="宋体" w:cs="Times New Roman"/>
                <w:sz w:val="24"/>
                <w:highlight w:val="none"/>
                <w:lang w:val="en-US" w:eastAsia="zh-CN"/>
              </w:rPr>
              <w:t xml:space="preserve">滨开区辖区内的信访调处监测、环境专项检查及环境应急监测、环境监管重点单位监督监测及监测数据综合分析</w:t>
            </w:r>
            <w:r>
              <w:rPr>
                <w:rFonts w:ascii="宋体" w:hAnsi="宋体" w:cs="宋体"/>
                <w:sz w:val="24"/>
                <w:highlight w:val="none"/>
                <w:lang w:val="en-US"/>
              </w:rPr>
            </w:r>
            <w:r/>
          </w:p>
        </w:tc>
      </w:tr>
      <w:tr>
        <w:trPr>
          <w:trHeight w:val="454"/>
        </w:trPr>
        <w:tc>
          <w:tcPr>
            <w:tcW w:w="1118" w:type="dxa"/>
            <w:vAlign w:val="center"/>
            <w:textDirection w:val="lrTb"/>
            <w:noWrap w:val="false"/>
          </w:tcPr>
          <w:p>
            <w:pPr>
              <w:pStyle w:val="777"/>
              <w:jc w:val="center"/>
              <w:rPr>
                <w:rFonts w:ascii="宋体" w:hAnsi="宋体" w:cs="宋体"/>
                <w:bCs/>
                <w:sz w:val="24"/>
                <w:highlight w:val="none"/>
              </w:rPr>
            </w:pP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3</w:t>
            </w:r>
            <w:r>
              <w:rPr>
                <w:rFonts w:ascii="宋体" w:hAnsi="宋体" w:cs="宋体"/>
                <w:bCs/>
                <w:sz w:val="24"/>
                <w:highlight w:val="none"/>
              </w:rPr>
            </w:r>
            <w:r/>
          </w:p>
        </w:tc>
        <w:tc>
          <w:tcPr>
            <w:tcW w:w="2970" w:type="dxa"/>
            <w:vAlign w:val="center"/>
            <w:textDirection w:val="lrTb"/>
            <w:noWrap w:val="false"/>
          </w:tcPr>
          <w:p>
            <w:pPr>
              <w:pStyle w:val="777"/>
              <w:jc w:val="center"/>
              <w:rPr>
                <w:rFonts w:hint="eastAsia" w:ascii="宋体" w:hAnsi="宋体" w:cs="宋体"/>
                <w:bCs/>
                <w:sz w:val="24"/>
                <w:highlight w:val="none"/>
                <w:u w:val="none"/>
              </w:rPr>
            </w:pPr>
            <w:r>
              <w:rPr>
                <w:rFonts w:hint="eastAsia" w:ascii="宋体" w:hAnsi="宋体" w:cs="宋体"/>
                <w:sz w:val="24"/>
                <w:highlight w:val="none"/>
                <w:u w:val="none"/>
                <w:lang w:eastAsia="zh-CN"/>
              </w:rPr>
              <w:t xml:space="preserve">2026年滨开区生态环境监测服务（</w:t>
            </w:r>
            <w:r>
              <w:rPr>
                <w:rFonts w:hint="eastAsia" w:ascii="宋体" w:hAnsi="宋体" w:cs="宋体"/>
                <w:sz w:val="24"/>
                <w:highlight w:val="none"/>
                <w:u w:val="none"/>
                <w:lang w:val="en-US" w:eastAsia="zh-CN"/>
              </w:rPr>
              <w:t xml:space="preserve">采购包三</w:t>
            </w:r>
            <w:r>
              <w:rPr>
                <w:rFonts w:hint="eastAsia" w:ascii="宋体" w:hAnsi="宋体" w:cs="宋体"/>
                <w:sz w:val="24"/>
                <w:highlight w:val="none"/>
                <w:u w:val="none"/>
                <w:lang w:eastAsia="zh-CN"/>
              </w:rPr>
              <w:t xml:space="preserve">）</w:t>
            </w:r>
            <w:r>
              <w:rPr>
                <w:rFonts w:hint="eastAsia" w:ascii="宋体" w:hAnsi="宋体" w:cs="宋体"/>
                <w:bCs/>
                <w:sz w:val="24"/>
                <w:highlight w:val="none"/>
                <w:u w:val="none"/>
              </w:rPr>
            </w:r>
            <w:r/>
          </w:p>
        </w:tc>
        <w:tc>
          <w:tcPr>
            <w:tcW w:w="1515" w:type="dxa"/>
            <w:vAlign w:val="center"/>
            <w:textDirection w:val="lrTb"/>
            <w:noWrap w:val="false"/>
          </w:tcPr>
          <w:p>
            <w:pPr>
              <w:pStyle w:val="777"/>
              <w:jc w:val="center"/>
              <w:rPr>
                <w:rFonts w:ascii="宋体" w:hAnsi="宋体" w:cs="宋体"/>
                <w:bCs/>
                <w:sz w:val="24"/>
                <w:highlight w:val="none"/>
                <w:lang w:val="en-US"/>
              </w:rPr>
            </w:pPr>
            <w:r>
              <w:rPr>
                <w:rFonts w:hint="eastAsia" w:ascii="宋体" w:hAnsi="宋体" w:cs="宋体"/>
                <w:bCs/>
                <w:sz w:val="24"/>
                <w:highlight w:val="none"/>
              </w:rPr>
              <w:t xml:space="preserve">暂估</w:t>
            </w:r>
            <w:r>
              <w:rPr>
                <w:rFonts w:hint="eastAsia" w:ascii="宋体" w:hAnsi="宋体" w:cs="宋体"/>
                <w:bCs/>
                <w:sz w:val="24"/>
                <w:highlight w:val="none"/>
                <w:lang w:val="en-US" w:eastAsia="zh-CN"/>
              </w:rPr>
              <w:t xml:space="preserve">85</w:t>
            </w:r>
            <w:r>
              <w:rPr>
                <w:rFonts w:ascii="宋体" w:hAnsi="宋体" w:cs="宋体"/>
                <w:bCs/>
                <w:sz w:val="24"/>
                <w:highlight w:val="none"/>
                <w:lang w:val="en-US"/>
              </w:rPr>
            </w:r>
            <w:r/>
          </w:p>
        </w:tc>
        <w:tc>
          <w:tcPr>
            <w:tcW w:w="765" w:type="dxa"/>
            <w:vAlign w:val="center"/>
            <w:textDirection w:val="lrTb"/>
            <w:noWrap w:val="false"/>
          </w:tcPr>
          <w:p>
            <w:pPr>
              <w:pStyle w:val="777"/>
              <w:jc w:val="center"/>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r>
            <w:r/>
          </w:p>
        </w:tc>
        <w:tc>
          <w:tcPr>
            <w:tcW w:w="2920" w:type="dxa"/>
            <w:vAlign w:val="center"/>
            <w:textDirection w:val="lrTb"/>
            <w:noWrap w:val="false"/>
          </w:tcPr>
          <w:p>
            <w:pPr>
              <w:pStyle w:val="777"/>
              <w:jc w:val="center"/>
              <w:rPr>
                <w:rFonts w:hint="eastAsia" w:ascii="宋体" w:hAnsi="宋体" w:cs="宋体"/>
                <w:sz w:val="24"/>
                <w:highlight w:val="none"/>
              </w:rPr>
            </w:pPr>
            <w:r>
              <w:rPr>
                <w:rFonts w:ascii="Times New Roman" w:hAnsi="Times New Roman" w:eastAsia="宋体" w:cs="Times New Roman"/>
                <w:sz w:val="24"/>
                <w:highlight w:val="none"/>
                <w:lang w:val="en-US" w:eastAsia="zh-CN"/>
              </w:rPr>
              <w:t xml:space="preserve">滨开区辖区内企业污染源监督监测，大气VOCs污染物走航监测，长江、太湖入河排口水质监测，大气、水质自动站运维监督和质控核查及监测数据综合分析；</w:t>
            </w:r>
            <w:r>
              <w:rPr>
                <w:rFonts w:hint="eastAsia" w:ascii="宋体" w:hAnsi="宋体" w:cs="宋体"/>
                <w:sz w:val="24"/>
                <w:highlight w:val="none"/>
              </w:rPr>
            </w:r>
            <w:r/>
          </w:p>
        </w:tc>
      </w:tr>
      <w:tr>
        <w:trPr>
          <w:trHeight w:val="454"/>
        </w:trPr>
        <w:tc>
          <w:tcPr>
            <w:tcW w:w="1118" w:type="dxa"/>
            <w:vAlign w:val="center"/>
            <w:textDirection w:val="lrTb"/>
            <w:noWrap w:val="false"/>
          </w:tcPr>
          <w:p>
            <w:pPr>
              <w:pStyle w:val="777"/>
              <w:jc w:val="center"/>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04</w:t>
            </w:r>
            <w:r>
              <w:rPr>
                <w:rFonts w:hint="eastAsia" w:ascii="宋体" w:hAnsi="宋体" w:eastAsia="宋体" w:cs="宋体"/>
                <w:bCs/>
                <w:sz w:val="24"/>
                <w:highlight w:val="none"/>
                <w:lang w:val="en-US" w:eastAsia="zh-CN"/>
              </w:rPr>
            </w:r>
            <w:r/>
          </w:p>
        </w:tc>
        <w:tc>
          <w:tcPr>
            <w:tcW w:w="2970" w:type="dxa"/>
            <w:vAlign w:val="center"/>
            <w:textDirection w:val="lrTb"/>
            <w:noWrap w:val="false"/>
          </w:tcPr>
          <w:p>
            <w:pPr>
              <w:pStyle w:val="777"/>
              <w:jc w:val="center"/>
              <w:rPr>
                <w:rFonts w:hint="eastAsia" w:ascii="宋体" w:hAnsi="宋体" w:cs="宋体"/>
                <w:bCs/>
                <w:sz w:val="24"/>
                <w:highlight w:val="none"/>
                <w:u w:val="none"/>
              </w:rPr>
            </w:pPr>
            <w:r>
              <w:rPr>
                <w:rFonts w:hint="eastAsia" w:ascii="宋体" w:hAnsi="宋体" w:cs="宋体"/>
                <w:sz w:val="24"/>
                <w:highlight w:val="none"/>
                <w:u w:val="none"/>
                <w:lang w:eastAsia="zh-CN"/>
              </w:rPr>
              <w:t xml:space="preserve">2026年滨开区生态环境监测服务（</w:t>
            </w:r>
            <w:r>
              <w:rPr>
                <w:rFonts w:hint="eastAsia" w:ascii="宋体" w:hAnsi="宋体" w:cs="宋体"/>
                <w:sz w:val="24"/>
                <w:highlight w:val="none"/>
                <w:u w:val="none"/>
                <w:lang w:val="en-US" w:eastAsia="zh-CN"/>
              </w:rPr>
              <w:t xml:space="preserve">采购包四</w:t>
            </w:r>
            <w:r>
              <w:rPr>
                <w:rFonts w:hint="eastAsia" w:ascii="宋体" w:hAnsi="宋体" w:cs="宋体"/>
                <w:sz w:val="24"/>
                <w:highlight w:val="none"/>
                <w:u w:val="none"/>
                <w:lang w:eastAsia="zh-CN"/>
              </w:rPr>
              <w:t xml:space="preserve">）</w:t>
            </w:r>
            <w:r>
              <w:rPr>
                <w:rFonts w:hint="eastAsia" w:ascii="宋体" w:hAnsi="宋体" w:cs="宋体"/>
                <w:bCs/>
                <w:sz w:val="24"/>
                <w:highlight w:val="none"/>
                <w:u w:val="none"/>
              </w:rPr>
            </w:r>
            <w:r/>
          </w:p>
        </w:tc>
        <w:tc>
          <w:tcPr>
            <w:tcW w:w="1515" w:type="dxa"/>
            <w:vAlign w:val="center"/>
            <w:textDirection w:val="lrTb"/>
            <w:noWrap w:val="false"/>
          </w:tcPr>
          <w:p>
            <w:pPr>
              <w:pStyle w:val="777"/>
              <w:jc w:val="center"/>
              <w:rPr>
                <w:rFonts w:ascii="宋体" w:hAnsi="宋体" w:cs="宋体"/>
                <w:bCs/>
                <w:sz w:val="24"/>
                <w:highlight w:val="none"/>
                <w:lang w:val="en-US"/>
              </w:rPr>
            </w:pPr>
            <w:r>
              <w:rPr>
                <w:rFonts w:hint="eastAsia" w:ascii="宋体" w:hAnsi="宋体" w:cs="宋体"/>
                <w:bCs/>
                <w:sz w:val="24"/>
                <w:highlight w:val="none"/>
              </w:rPr>
              <w:t xml:space="preserve">暂估</w:t>
            </w:r>
            <w:r>
              <w:rPr>
                <w:rFonts w:hint="eastAsia" w:ascii="宋体" w:hAnsi="宋体" w:cs="宋体"/>
                <w:bCs/>
                <w:sz w:val="24"/>
                <w:highlight w:val="none"/>
                <w:lang w:val="en-US" w:eastAsia="zh-CN"/>
              </w:rPr>
              <w:t xml:space="preserve">45</w:t>
            </w:r>
            <w:r>
              <w:rPr>
                <w:rFonts w:ascii="宋体" w:hAnsi="宋体" w:cs="宋体"/>
                <w:bCs/>
                <w:sz w:val="24"/>
                <w:highlight w:val="none"/>
                <w:lang w:val="en-US"/>
              </w:rPr>
            </w:r>
            <w:r/>
          </w:p>
        </w:tc>
        <w:tc>
          <w:tcPr>
            <w:tcW w:w="765" w:type="dxa"/>
            <w:vAlign w:val="center"/>
            <w:textDirection w:val="lrTb"/>
            <w:noWrap w:val="false"/>
          </w:tcPr>
          <w:p>
            <w:pPr>
              <w:pStyle w:val="777"/>
              <w:jc w:val="center"/>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r>
            <w:r/>
          </w:p>
        </w:tc>
        <w:tc>
          <w:tcPr>
            <w:tcW w:w="2920"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bCs/>
                <w:sz w:val="24"/>
                <w:highlight w:val="none"/>
                <w:lang w:eastAsia="zh-CN"/>
              </w:rPr>
              <w:t xml:space="preserve">新材料产业园的年度环境质量监督监测及监测数据综合分析</w:t>
            </w:r>
            <w:r>
              <w:rPr>
                <w:rFonts w:hint="eastAsia" w:ascii="宋体" w:hAnsi="宋体" w:cs="宋体"/>
                <w:sz w:val="24"/>
                <w:highlight w:val="none"/>
              </w:rPr>
            </w:r>
            <w:r/>
          </w:p>
        </w:tc>
      </w:tr>
    </w:tbl>
    <w:p>
      <w:pPr>
        <w:pStyle w:val="777"/>
        <w:ind w:firstLine="480"/>
        <w:spacing w:line="360" w:lineRule="auto"/>
        <w:rPr>
          <w:rFonts w:ascii="宋体" w:hAnsi="宋体" w:eastAsia="宋体" w:cs="宋体"/>
          <w:sz w:val="24"/>
          <w:highlight w:val="none"/>
          <w:u w:val="single"/>
          <w:lang w:val="en-US" w:eastAsia="zh-CN"/>
        </w:rPr>
      </w:pPr>
      <w:r>
        <w:rPr>
          <w:rFonts w:hint="eastAsia" w:ascii="宋体" w:hAnsi="宋体" w:eastAsia="宋体" w:cs="宋体"/>
          <w:sz w:val="24"/>
          <w:highlight w:val="none"/>
          <w:u w:val="none"/>
          <w:lang w:val="en-US" w:eastAsia="zh-CN"/>
        </w:rPr>
        <w:t xml:space="preserve">本项目共分</w:t>
      </w:r>
      <w:r>
        <w:rPr>
          <w:rFonts w:hint="eastAsia" w:ascii="宋体" w:hAnsi="宋体" w:cs="宋体"/>
          <w:sz w:val="24"/>
          <w:highlight w:val="none"/>
          <w:lang w:val="en-US" w:eastAsia="zh-CN"/>
        </w:rPr>
        <w:t xml:space="preserve">为4个采购包，</w:t>
      </w:r>
      <w:r>
        <w:rPr>
          <w:rFonts w:hint="eastAsia" w:ascii="宋体" w:hAnsi="宋体" w:eastAsia="宋体" w:cs="宋体"/>
          <w:sz w:val="24"/>
          <w:highlight w:val="none"/>
          <w:lang w:val="en-US" w:eastAsia="zh-CN"/>
        </w:rPr>
        <w:t xml:space="preserve">投标人可对本次招标项目中的 1 个采购包或全部采购包进行投标，每个投标人仅限中一个采购包。4个采购包同时评审，按采购包1 、采购包2、采购包3 、采购包4的顺序依次确定中标人，当出现 2 个及以上采购包第一中标候选人为同一单位时，按上述顺序确定中标采购包，其他采购包的中标候选资格自动失效，由该采购包的第二中标候选人自动升为第一中标候选人。</w:t>
      </w:r>
      <w:r>
        <w:rPr>
          <w:rFonts w:ascii="宋体" w:hAnsi="宋体" w:eastAsia="宋体" w:cs="宋体"/>
          <w:sz w:val="24"/>
          <w:highlight w:val="none"/>
          <w:u w:val="single"/>
          <w:lang w:val="en-US" w:eastAsia="zh-CN"/>
        </w:rPr>
      </w:r>
      <w:r/>
    </w:p>
    <w:p>
      <w:pPr>
        <w:pStyle w:val="777"/>
        <w:ind w:firstLine="480"/>
        <w:spacing w:line="360" w:lineRule="auto"/>
        <w:rPr>
          <w:rFonts w:hint="eastAsia" w:ascii="宋体" w:hAnsi="宋体" w:cs="宋体"/>
          <w:sz w:val="24"/>
          <w:highlight w:val="none"/>
          <w:u w:val="singl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.合同履行期限：</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壹年。</w:t>
      </w:r>
      <w:r>
        <w:rPr>
          <w:rFonts w:hint="eastAsia" w:ascii="宋体" w:hAnsi="宋体" w:cs="宋体"/>
          <w:sz w:val="24"/>
          <w:highlight w:val="none"/>
          <w:u w:val="singl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.本项目是否接受联合体：□是  ■否。</w:t>
      </w:r>
      <w:r>
        <w:rPr>
          <w:rFonts w:hint="eastAsia" w:ascii="宋体" w:hAnsi="宋体" w:cs="宋体"/>
          <w:sz w:val="24"/>
          <w:highlight w:val="none"/>
        </w:rPr>
      </w:r>
      <w:r/>
    </w:p>
    <w:p>
      <w:pPr>
        <w:pStyle w:val="777"/>
        <w:spacing w:line="360" w:lineRule="auto"/>
        <w:rPr>
          <w:rFonts w:hint="eastAsia" w:ascii="宋体" w:hAnsi="宋体"/>
          <w:b/>
          <w:bCs/>
          <w:sz w:val="24"/>
          <w:highlight w:val="none"/>
        </w:rPr>
      </w:pPr>
      <w:r/>
      <w:bookmarkStart w:id="5" w:name="_Toc35393622"/>
      <w:r/>
      <w:bookmarkStart w:id="6" w:name="_Toc35393791"/>
      <w:r/>
      <w:bookmarkStart w:id="7" w:name="_Toc28359080"/>
      <w:r/>
      <w:bookmarkStart w:id="8" w:name="_Toc28359003"/>
      <w:r>
        <w:rPr>
          <w:rFonts w:hint="eastAsia" w:ascii="宋体" w:hAnsi="宋体"/>
          <w:b/>
          <w:bCs/>
          <w:sz w:val="24"/>
          <w:highlight w:val="none"/>
        </w:rPr>
        <w:t xml:space="preserve">二、申请人的资格要求（须同时满足）</w:t>
      </w:r>
      <w:bookmarkEnd w:id="5"/>
      <w:r/>
      <w:bookmarkEnd w:id="6"/>
      <w:r/>
      <w:bookmarkEnd w:id="7"/>
      <w:r/>
      <w:bookmarkEnd w:id="8"/>
      <w:r>
        <w:rPr>
          <w:rFonts w:hint="eastAsia" w:ascii="宋体" w:hAnsi="宋体"/>
          <w:b/>
          <w:bCs/>
          <w:sz w:val="24"/>
          <w:highlight w:val="none"/>
        </w:rPr>
      </w:r>
      <w:r/>
    </w:p>
    <w:p>
      <w:pPr>
        <w:pStyle w:val="777"/>
        <w:ind w:firstLine="480"/>
        <w:spacing w:line="360" w:lineRule="auto"/>
        <w:rPr>
          <w:rFonts w:hint="eastAsia" w:ascii="宋体" w:hAnsi="宋体" w:cs="宋体"/>
          <w:sz w:val="24"/>
          <w:highlight w:val="none"/>
        </w:rPr>
      </w:pPr>
      <w:r/>
      <w:bookmarkStart w:id="9" w:name="_Toc28359004"/>
      <w:r/>
      <w:bookmarkStart w:id="10" w:name="_Toc28359081"/>
      <w:r>
        <w:rPr>
          <w:rFonts w:hint="eastAsia" w:ascii="宋体" w:hAnsi="宋体" w:cs="宋体"/>
          <w:sz w:val="24"/>
          <w:highlight w:val="none"/>
        </w:rPr>
        <w:t xml:space="preserve">1.满足《中华人民共和国政府采购法》第二十二条规定以及下列情形：</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2.1 中小企业政策</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□本项目不专门面向中小企业预留采购份额。</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■本项目专门面向  ■中小 □小微企业  采购。即：提供的服务全部由符合政策要求的中小企业承接。</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其它落实政府采购政策的资格要求：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777"/>
        <w:ind w:firstLine="480"/>
        <w:spacing w:line="360" w:lineRule="auto"/>
        <w:rPr>
          <w:rFonts w:hint="eastAsia" w:ascii="宋体" w:hAnsi="宋体" w:cs="宋体"/>
          <w:i/>
          <w:iCs/>
          <w:sz w:val="24"/>
          <w:highlight w:val="none"/>
          <w:u w:val="single"/>
        </w:rPr>
      </w:pPr>
      <w:r>
        <w:rPr>
          <w:rFonts w:hint="eastAsia" w:ascii="宋体" w:hAnsi="宋体" w:cs="宋体"/>
          <w:sz w:val="24"/>
          <w:highlight w:val="none"/>
        </w:rPr>
        <w:t xml:space="preserve">3.本项目的特定资格要求：</w:t>
      </w:r>
      <w:r>
        <w:rPr>
          <w:rFonts w:hint="eastAsia" w:ascii="宋体" w:hAnsi="宋体" w:cs="宋体"/>
          <w:i/>
          <w:iCs/>
          <w:sz w:val="24"/>
          <w:highlight w:val="none"/>
          <w:u w:val="single"/>
        </w:rPr>
      </w:r>
      <w:r/>
    </w:p>
    <w:p>
      <w:pPr>
        <w:pStyle w:val="777"/>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3.1本项目是否接受分支机构参与响应：□是   ■否；</w:t>
      </w:r>
      <w:r>
        <w:rPr>
          <w:rFonts w:hint="eastAsia" w:ascii="宋体" w:hAnsi="宋体" w:cs="宋体"/>
          <w:sz w:val="24"/>
          <w:highlight w:val="none"/>
        </w:rPr>
      </w:r>
      <w:r/>
    </w:p>
    <w:p>
      <w:pPr>
        <w:pStyle w:val="777"/>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3.2 本项目是否属于政府购买服务：</w:t>
      </w:r>
      <w:r>
        <w:rPr>
          <w:rFonts w:hint="eastAsia" w:ascii="宋体" w:hAnsi="宋体" w:cs="宋体"/>
          <w:sz w:val="24"/>
          <w:highlight w:val="none"/>
        </w:rPr>
      </w:r>
      <w:r/>
    </w:p>
    <w:p>
      <w:pPr>
        <w:pStyle w:val="777"/>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rPr>
          <w:rFonts w:hint="eastAsia" w:ascii="宋体" w:hAnsi="宋体" w:cs="宋体"/>
          <w:sz w:val="24"/>
          <w:highlight w:val="none"/>
        </w:rPr>
      </w:r>
      <w:r/>
    </w:p>
    <w:p>
      <w:pPr>
        <w:pStyle w:val="777"/>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是，公益一类事业单位、使用事业编制且由财政拨款保障的群团组织，不得作为承接主体；</w:t>
      </w:r>
      <w:r>
        <w:rPr>
          <w:rFonts w:hint="eastAsia" w:ascii="宋体" w:hAnsi="宋体" w:cs="宋体"/>
          <w:sz w:val="24"/>
          <w:highlight w:val="none"/>
        </w:rPr>
      </w:r>
      <w:r/>
    </w:p>
    <w:p>
      <w:pPr>
        <w:pStyle w:val="777"/>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u w:val="single"/>
        </w:rPr>
      </w:pPr>
      <w:r>
        <w:rPr>
          <w:rFonts w:hint="eastAsia" w:ascii="宋体" w:hAnsi="宋体" w:cs="宋体"/>
          <w:sz w:val="24"/>
          <w:highlight w:val="none"/>
        </w:rPr>
        <w:t xml:space="preserve">3.3其他特定资格要求：</w:t>
      </w:r>
      <w:r>
        <w:rPr>
          <w:rFonts w:hint="eastAsia" w:ascii="宋体" w:hAnsi="宋体" w:cs="宋体"/>
          <w:sz w:val="24"/>
          <w:highlight w:val="none"/>
          <w:u w:val="single"/>
          <w:lang w:val="en-US" w:eastAsia="zh-CN"/>
        </w:rPr>
        <w:t xml:space="preserve">本项目需提供有效期内的检验检测机构资质认定证书和认定的环境类监测项目数的检验检测机构资质认定证书附表。</w:t>
      </w:r>
      <w:r>
        <w:rPr>
          <w:rFonts w:hint="eastAsia" w:ascii="宋体" w:hAnsi="宋体" w:cs="宋体"/>
          <w:sz w:val="24"/>
          <w:highlight w:val="none"/>
          <w:u w:val="single"/>
        </w:rPr>
      </w:r>
      <w:r/>
    </w:p>
    <w:p>
      <w:pPr>
        <w:pStyle w:val="777"/>
        <w:spacing w:line="360" w:lineRule="auto"/>
        <w:rPr>
          <w:rFonts w:hint="eastAsia" w:ascii="宋体" w:hAnsi="宋体"/>
          <w:b/>
          <w:bCs/>
          <w:sz w:val="24"/>
          <w:highlight w:val="none"/>
        </w:rPr>
      </w:pPr>
      <w:r/>
      <w:bookmarkEnd w:id="9"/>
      <w:r/>
      <w:bookmarkEnd w:id="10"/>
      <w:r/>
      <w:bookmarkStart w:id="11" w:name="_Toc35393792"/>
      <w:r/>
      <w:bookmarkStart w:id="12" w:name="_Toc35393623"/>
      <w:r>
        <w:rPr>
          <w:rFonts w:hint="eastAsia" w:ascii="宋体" w:hAnsi="宋体"/>
          <w:b/>
          <w:bCs/>
          <w:sz w:val="24"/>
          <w:highlight w:val="none"/>
        </w:rPr>
        <w:t xml:space="preserve">三、获取采购文件</w:t>
      </w:r>
      <w:bookmarkEnd w:id="11"/>
      <w:r/>
      <w:bookmarkEnd w:id="12"/>
      <w:r>
        <w:rPr>
          <w:rFonts w:hint="eastAsia" w:ascii="宋体" w:hAnsi="宋体"/>
          <w:b/>
          <w:bCs/>
          <w:sz w:val="24"/>
          <w:highlight w:val="none"/>
        </w:rPr>
      </w:r>
      <w:r/>
    </w:p>
    <w:p>
      <w:pPr>
        <w:pStyle w:val="777"/>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1.时间：</w:t>
      </w:r>
      <w:r>
        <w:rPr>
          <w:rFonts w:hint="eastAsia" w:ascii="宋体" w:hAnsi="宋体" w:cs="宋体"/>
          <w:sz w:val="24"/>
          <w:highlight w:val="none"/>
          <w:u w:val="none"/>
          <w:lang w:val="en-US" w:eastAsia="zh-CN"/>
        </w:rPr>
        <w:t xml:space="preserve">自本公告发出之日</w:t>
      </w:r>
      <w:r>
        <w:rPr>
          <w:rFonts w:hint="eastAsia" w:ascii="宋体" w:hAnsi="宋体" w:cs="宋体"/>
          <w:sz w:val="24"/>
          <w:highlight w:val="none"/>
          <w:lang w:bidi="ar"/>
        </w:rPr>
        <w:t xml:space="preserve">至</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lang w:val="en-US" w:eastAsia="zh-CN"/>
        </w:rPr>
        <w:t xml:space="preserve"> 3 </w:t>
      </w:r>
      <w:r>
        <w:rPr>
          <w:rFonts w:hint="eastAsia" w:ascii="宋体" w:hAnsi="宋体" w:cs="宋体"/>
          <w:sz w:val="24"/>
          <w:highlight w:val="none"/>
          <w:lang w:bidi="ar"/>
        </w:rPr>
        <w:t xml:space="preserve">月</w:t>
      </w:r>
      <w:r>
        <w:rPr>
          <w:rFonts w:hint="eastAsia" w:ascii="宋体" w:hAnsi="宋体" w:cs="宋体"/>
          <w:sz w:val="24"/>
          <w:highlight w:val="none"/>
          <w:u w:val="single"/>
          <w:lang w:val="en-US" w:eastAsia="zh-CN"/>
        </w:rPr>
        <w:t xml:space="preserve"> 20 </w:t>
      </w:r>
      <w:r>
        <w:rPr>
          <w:rFonts w:hint="eastAsia" w:ascii="宋体" w:hAnsi="宋体" w:cs="宋体"/>
          <w:sz w:val="24"/>
          <w:highlight w:val="none"/>
          <w:lang w:bidi="ar"/>
        </w:rPr>
        <w:t xml:space="preserve">日</w:t>
      </w:r>
      <w:r>
        <w:rPr>
          <w:rFonts w:hint="eastAsia" w:ascii="宋体" w:hAnsi="宋体" w:cs="宋体"/>
          <w:sz w:val="24"/>
          <w:highlight w:val="none"/>
          <w:lang w:bidi="ar"/>
        </w:rPr>
        <w:t xml:space="preserve">。（北京时间，法定节假日除外）。</w:t>
      </w:r>
      <w:r>
        <w:rPr>
          <w:rFonts w:hint="eastAsia" w:ascii="宋体" w:hAnsi="宋体" w:cs="宋体"/>
          <w:sz w:val="24"/>
          <w:highlight w:val="none"/>
          <w:lang w:bidi="ar"/>
        </w:rPr>
      </w:r>
      <w:r/>
    </w:p>
    <w:p>
      <w:pPr>
        <w:pStyle w:val="777"/>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2.地点：政府采购一体化平台“苏采云”。</w:t>
      </w:r>
      <w:r>
        <w:rPr>
          <w:rFonts w:hint="eastAsia" w:ascii="宋体" w:hAnsi="宋体" w:cs="宋体"/>
          <w:sz w:val="24"/>
          <w:highlight w:val="none"/>
          <w:lang w:bidi="ar"/>
        </w:rPr>
      </w:r>
      <w:r/>
    </w:p>
    <w:p>
      <w:pPr>
        <w:pStyle w:val="777"/>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3.方式：在“苏采云”平台自行免费下载招标文件。</w:t>
      </w:r>
      <w:r>
        <w:rPr>
          <w:rFonts w:hint="eastAsia" w:ascii="宋体" w:hAnsi="宋体" w:cs="宋体"/>
          <w:sz w:val="24"/>
          <w:highlight w:val="none"/>
          <w:lang w:bidi="ar"/>
        </w:rPr>
      </w:r>
      <w:r/>
    </w:p>
    <w:p>
      <w:pPr>
        <w:pStyle w:val="777"/>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4.售价：</w:t>
      </w:r>
      <w:r>
        <w:rPr>
          <w:rFonts w:hint="eastAsia" w:ascii="宋体" w:hAnsi="宋体" w:cs="宋体"/>
          <w:sz w:val="24"/>
          <w:highlight w:val="none"/>
          <w:u w:val="single"/>
          <w:lang w:bidi="ar"/>
        </w:rPr>
        <w:t xml:space="preserve"> 0 </w:t>
      </w:r>
      <w:r>
        <w:rPr>
          <w:rFonts w:hint="eastAsia" w:ascii="宋体" w:hAnsi="宋体" w:cs="宋体"/>
          <w:sz w:val="24"/>
          <w:highlight w:val="none"/>
          <w:lang w:bidi="ar"/>
        </w:rPr>
        <w:t xml:space="preserve">元。</w:t>
      </w:r>
      <w:r>
        <w:rPr>
          <w:rFonts w:hint="eastAsia" w:ascii="宋体" w:hAnsi="宋体" w:cs="宋体"/>
          <w:sz w:val="24"/>
          <w:highlight w:val="none"/>
          <w:lang w:bidi="ar"/>
        </w:rPr>
      </w:r>
      <w:r/>
    </w:p>
    <w:p>
      <w:pPr>
        <w:pStyle w:val="777"/>
        <w:spacing w:line="360" w:lineRule="auto"/>
        <w:rPr>
          <w:rFonts w:hint="eastAsia" w:ascii="宋体" w:hAnsi="宋体"/>
          <w:b/>
          <w:bCs/>
          <w:sz w:val="24"/>
          <w:highlight w:val="none"/>
        </w:rPr>
      </w:pPr>
      <w:r/>
      <w:bookmarkStart w:id="13" w:name="_Toc28359082"/>
      <w:r/>
      <w:bookmarkStart w:id="14" w:name="_Toc35393793"/>
      <w:r/>
      <w:bookmarkStart w:id="15" w:name="_Toc28359005"/>
      <w:r/>
      <w:bookmarkStart w:id="16" w:name="_Toc35393624"/>
      <w:r>
        <w:rPr>
          <w:rFonts w:hint="eastAsia" w:ascii="宋体" w:hAnsi="宋体"/>
          <w:b/>
          <w:bCs/>
          <w:sz w:val="24"/>
          <w:highlight w:val="none"/>
        </w:rPr>
        <w:t xml:space="preserve">四、</w:t>
      </w:r>
      <w:bookmarkEnd w:id="13"/>
      <w:r/>
      <w:bookmarkEnd w:id="14"/>
      <w:r/>
      <w:bookmarkEnd w:id="15"/>
      <w:r/>
      <w:bookmarkEnd w:id="16"/>
      <w:r>
        <w:rPr>
          <w:rFonts w:hint="eastAsia" w:ascii="宋体" w:hAnsi="宋体"/>
          <w:b/>
          <w:bCs/>
          <w:sz w:val="24"/>
          <w:highlight w:val="none"/>
        </w:rPr>
        <w:t xml:space="preserve">响应文件提交</w:t>
      </w:r>
      <w:r>
        <w:rPr>
          <w:rFonts w:hint="eastAsia" w:ascii="宋体" w:hAnsi="宋体"/>
          <w:b/>
          <w:bCs/>
          <w:sz w:val="24"/>
          <w:highlight w:val="none"/>
        </w:rPr>
      </w:r>
      <w:r/>
    </w:p>
    <w:p>
      <w:pPr>
        <w:pStyle w:val="777"/>
        <w:ind w:firstLine="480"/>
        <w:spacing w:line="360" w:lineRule="auto"/>
        <w:rPr>
          <w:rFonts w:hint="eastAsia" w:ascii="宋体" w:hAnsi="宋体" w:cs="宋体"/>
          <w:bCs/>
          <w:sz w:val="24"/>
          <w:highlight w:val="none"/>
          <w:u w:val="single"/>
        </w:rPr>
      </w:pPr>
      <w:r>
        <w:rPr>
          <w:rFonts w:hint="eastAsia" w:ascii="宋体" w:hAnsi="宋体" w:cs="宋体"/>
          <w:sz w:val="24"/>
          <w:highlight w:val="none"/>
          <w:lang w:bidi="ar"/>
        </w:rPr>
        <w:t xml:space="preserve">截止时间：</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4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8</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09</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点</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0 </w:t>
      </w:r>
      <w:r>
        <w:rPr>
          <w:rFonts w:hint="eastAsia" w:ascii="宋体" w:hAnsi="宋体" w:cs="宋体"/>
          <w:sz w:val="24"/>
          <w:highlight w:val="none"/>
          <w:lang w:bidi="ar"/>
        </w:rPr>
        <w:t xml:space="preserve">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rPr>
          <w:rFonts w:hint="eastAsia" w:ascii="宋体" w:hAnsi="宋体" w:cs="宋体"/>
          <w:bCs/>
          <w:sz w:val="24"/>
          <w:highlight w:val="none"/>
          <w:u w:val="single"/>
        </w:rPr>
      </w:r>
      <w:r/>
    </w:p>
    <w:p>
      <w:pPr>
        <w:pStyle w:val="777"/>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本项目采用不见面交易方式，无需到现场提交，投标人登录政府采购一体化平台“苏采云”供应商端，通过系统在线提交电子投标文件</w:t>
      </w:r>
      <w:r>
        <w:rPr>
          <w:rFonts w:hint="eastAsia" w:ascii="宋体" w:hAnsi="宋体" w:cs="宋体"/>
          <w:sz w:val="24"/>
          <w:highlight w:val="none"/>
          <w:lang w:bidi="ar"/>
        </w:rPr>
        <w:t xml:space="preserve">。</w:t>
      </w:r>
      <w:r>
        <w:rPr>
          <w:rFonts w:hint="eastAsia" w:ascii="宋体" w:hAnsi="宋体" w:cs="宋体"/>
          <w:sz w:val="24"/>
          <w:highlight w:val="none"/>
          <w:lang w:bidi="ar"/>
        </w:rPr>
      </w:r>
      <w:r/>
    </w:p>
    <w:p>
      <w:pPr>
        <w:pStyle w:val="777"/>
        <w:spacing w:line="360" w:lineRule="auto"/>
        <w:rPr>
          <w:rFonts w:hint="eastAsia" w:ascii="宋体" w:hAnsi="宋体"/>
          <w:b/>
          <w:bCs/>
          <w:sz w:val="24"/>
          <w:highlight w:val="none"/>
        </w:rPr>
      </w:pPr>
      <w:r>
        <w:rPr>
          <w:rFonts w:hint="eastAsia" w:ascii="宋体" w:hAnsi="宋体"/>
          <w:b/>
          <w:bCs/>
          <w:sz w:val="24"/>
          <w:highlight w:val="none"/>
        </w:rPr>
        <w:t xml:space="preserve">五、开启</w:t>
      </w:r>
      <w:r>
        <w:rPr>
          <w:rFonts w:hint="eastAsia" w:ascii="宋体" w:hAnsi="宋体"/>
          <w:b/>
          <w:bCs/>
          <w:sz w:val="24"/>
          <w:highlight w:val="none"/>
        </w:rPr>
      </w:r>
      <w:r/>
    </w:p>
    <w:p>
      <w:pPr>
        <w:pStyle w:val="777"/>
        <w:ind w:firstLine="480"/>
        <w:spacing w:line="360" w:lineRule="auto"/>
        <w:rPr>
          <w:rFonts w:hint="eastAsia" w:ascii="宋体" w:hAnsi="宋体" w:cs="宋体"/>
          <w:bCs/>
          <w:sz w:val="24"/>
          <w:highlight w:val="none"/>
          <w:u w:val="single"/>
        </w:rPr>
      </w:pPr>
      <w:r>
        <w:rPr>
          <w:rFonts w:hint="eastAsia" w:ascii="宋体" w:hAnsi="宋体" w:cs="宋体"/>
          <w:sz w:val="24"/>
          <w:highlight w:val="none"/>
          <w:lang w:bidi="ar"/>
        </w:rPr>
        <w:t xml:space="preserve">时间：</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4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8</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09</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0 </w:t>
      </w:r>
      <w:r>
        <w:rPr>
          <w:rFonts w:hint="eastAsia" w:ascii="宋体" w:hAnsi="宋体" w:cs="宋体"/>
          <w:sz w:val="24"/>
          <w:highlight w:val="none"/>
          <w:lang w:bidi="ar"/>
        </w:rPr>
        <w:t xml:space="preserve">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rPr>
          <w:rFonts w:hint="eastAsia" w:ascii="宋体" w:hAnsi="宋体" w:cs="宋体"/>
          <w:bCs/>
          <w:sz w:val="24"/>
          <w:highlight w:val="none"/>
          <w:u w:val="single"/>
        </w:rPr>
      </w:r>
      <w:r/>
    </w:p>
    <w:p>
      <w:pPr>
        <w:pStyle w:val="777"/>
        <w:ind w:firstLine="480"/>
        <w:spacing w:line="360" w:lineRule="auto"/>
        <w:rPr>
          <w:rFonts w:hint="eastAsia" w:ascii="宋体" w:hAnsi="宋体" w:cs="宋体"/>
          <w:sz w:val="24"/>
          <w:highlight w:val="none"/>
          <w:lang w:bidi="ar"/>
        </w:rPr>
      </w:pPr>
      <w:r/>
      <w:bookmarkStart w:id="17" w:name="_Toc28359084"/>
      <w:r/>
      <w:bookmarkStart w:id="18" w:name="_Toc28359007"/>
      <w:r/>
      <w:bookmarkStart w:id="19" w:name="_Toc35393625"/>
      <w:r/>
      <w:bookmarkStart w:id="20" w:name="_Toc35393794"/>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本项目采用不见面交易方式，无需到现场提交，投标人登录政府采购一体化平台“苏采云”供应商端，通过系统在线提交电子投标文件</w:t>
      </w:r>
      <w:r>
        <w:rPr>
          <w:rFonts w:hint="eastAsia" w:ascii="宋体" w:hAnsi="宋体" w:cs="宋体"/>
          <w:sz w:val="24"/>
          <w:highlight w:val="none"/>
          <w:lang w:bidi="ar"/>
        </w:rPr>
        <w:t xml:space="preserve">。</w:t>
      </w:r>
      <w:r>
        <w:rPr>
          <w:rFonts w:hint="eastAsia" w:ascii="宋体" w:hAnsi="宋体" w:cs="宋体"/>
          <w:sz w:val="24"/>
          <w:highlight w:val="none"/>
          <w:lang w:bidi="ar"/>
        </w:rPr>
      </w:r>
      <w:r/>
    </w:p>
    <w:p>
      <w:pPr>
        <w:pStyle w:val="777"/>
        <w:spacing w:line="360" w:lineRule="auto"/>
        <w:rPr>
          <w:rFonts w:hint="eastAsia" w:ascii="宋体" w:hAnsi="宋体"/>
          <w:b/>
          <w:bCs/>
          <w:sz w:val="24"/>
          <w:highlight w:val="none"/>
        </w:rPr>
      </w:pPr>
      <w:r>
        <w:rPr>
          <w:rFonts w:hint="eastAsia" w:ascii="宋体" w:hAnsi="宋体"/>
          <w:b/>
          <w:bCs/>
          <w:sz w:val="24"/>
          <w:highlight w:val="none"/>
        </w:rPr>
        <w:t xml:space="preserve">六、公告期限</w:t>
      </w:r>
      <w:bookmarkEnd w:id="17"/>
      <w:r/>
      <w:bookmarkEnd w:id="18"/>
      <w:r/>
      <w:bookmarkEnd w:id="19"/>
      <w:r/>
      <w:bookmarkEnd w:id="20"/>
      <w:r>
        <w:rPr>
          <w:rFonts w:hint="eastAsia" w:ascii="宋体" w:hAnsi="宋体"/>
          <w:b/>
          <w:bCs/>
          <w:sz w:val="24"/>
          <w:highlight w:val="none"/>
        </w:rPr>
      </w:r>
      <w:r/>
    </w:p>
    <w:p>
      <w:pPr>
        <w:pStyle w:val="777"/>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自本公告发布之日起</w:t>
      </w:r>
      <w:r>
        <w:rPr>
          <w:rFonts w:hint="eastAsia" w:ascii="宋体" w:hAnsi="宋体" w:cs="宋体"/>
          <w:sz w:val="24"/>
          <w:highlight w:val="none"/>
          <w:lang w:val="en-US" w:eastAsia="zh-CN" w:bidi="ar"/>
        </w:rPr>
        <w:t xml:space="preserve">5</w:t>
      </w:r>
      <w:r>
        <w:rPr>
          <w:rFonts w:hint="eastAsia" w:ascii="宋体" w:hAnsi="宋体" w:cs="宋体"/>
          <w:sz w:val="24"/>
          <w:highlight w:val="none"/>
          <w:lang w:bidi="ar"/>
        </w:rPr>
        <w:t xml:space="preserve">个工作日。</w:t>
      </w:r>
      <w:r>
        <w:rPr>
          <w:rFonts w:hint="eastAsia" w:ascii="宋体" w:hAnsi="宋体" w:cs="宋体"/>
          <w:sz w:val="24"/>
          <w:highlight w:val="none"/>
          <w:lang w:bidi="ar"/>
        </w:rPr>
      </w:r>
      <w:r/>
    </w:p>
    <w:p>
      <w:pPr>
        <w:pStyle w:val="777"/>
        <w:spacing w:line="360" w:lineRule="auto"/>
        <w:rPr>
          <w:rFonts w:hint="eastAsia" w:ascii="宋体" w:hAnsi="宋体"/>
          <w:b/>
          <w:bCs/>
          <w:sz w:val="24"/>
          <w:highlight w:val="none"/>
        </w:rPr>
      </w:pPr>
      <w:r/>
      <w:bookmarkStart w:id="21" w:name="_Toc35393626"/>
      <w:r/>
      <w:bookmarkStart w:id="22" w:name="_Toc35393795"/>
      <w:r>
        <w:rPr>
          <w:rFonts w:hint="eastAsia" w:ascii="宋体" w:hAnsi="宋体"/>
          <w:b/>
          <w:bCs/>
          <w:sz w:val="24"/>
          <w:highlight w:val="none"/>
        </w:rPr>
        <w:t xml:space="preserve">七、其他补充事宜</w:t>
      </w:r>
      <w:bookmarkEnd w:id="21"/>
      <w:r/>
      <w:bookmarkEnd w:id="22"/>
      <w:r>
        <w:rPr>
          <w:rFonts w:hint="eastAsia" w:ascii="宋体" w:hAnsi="宋体"/>
          <w:b/>
          <w:bCs/>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1.本项目需要落实的政府采购政策：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本项目采用不见面交易方式，请供应商认真学习常州市政府采购网发布的相关操作手册，办理CA认证证书、进行政府采购一体化平台“苏采云”注册绑定，并认真核实数字认证证书情况确认是否符合本项目电子化采购流程要求。</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技术支持服务热线    0519-85588210</w:t>
      </w:r>
      <w:r>
        <w:rPr>
          <w:rFonts w:hint="eastAsia" w:ascii="宋体" w:hAnsi="宋体" w:cs="宋体"/>
          <w:sz w:val="24"/>
          <w:highlight w:val="none"/>
        </w:rPr>
      </w:r>
      <w:r/>
    </w:p>
    <w:p>
      <w:pPr>
        <w:pStyle w:val="777"/>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CA认证证书办理（可邮寄）联系电话   </w:t>
      </w:r>
      <w:r>
        <w:rPr>
          <w:rFonts w:hint="eastAsia" w:ascii="宋体" w:hAnsi="宋体" w:eastAsia="宋体" w:cs="宋体"/>
          <w:sz w:val="24"/>
          <w:highlight w:val="none"/>
        </w:rPr>
        <w:t xml:space="preserve"> 0519</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85588120</w:t>
      </w:r>
      <w:r>
        <w:rPr>
          <w:rFonts w:hint="eastAsia" w:ascii="宋体" w:hAnsi="宋体" w:eastAsia="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2.1办理CA认证证书</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供应商登录政府采购一体化平台“苏采云”“新CA办理指南”，按照程序要求办理。</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2.2注册</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供应商登录政府采购一体化平台“苏采云”下载“用户注册”查阅后进行自助注册。</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2.3控件、客户端下载</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供应商登录政府采购一体化平台“苏采云”下载“驱动下载”，安装驱动。</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2.4获取电子</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供应商持CA数字认证证书登录政府采购一体化平台“苏采云”获取电子招标文件。未在规定期限内通过政府采购一体化平台“苏采云”获取招标文件的投标无效。</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2.5编制电子响应文件</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2.6提交电子响应文件</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供应商应于投标截止时间前在政府采购一体化平台“苏采云”提交电子投标文件，上传电子投标文件过程中请保持与互联网的连接畅通。</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2.7电子开标</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供应商使用CA认证证书登录政府采购一体化平台“苏采云”进行电子化不见面开标。</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2.8注意事项</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sz w:val="24"/>
          <w:highlight w:val="none"/>
        </w:rPr>
      </w:r>
      <w:r/>
    </w:p>
    <w:p>
      <w:pPr>
        <w:pStyle w:val="777"/>
        <w:ind w:firstLine="480"/>
        <w:spacing w:line="360" w:lineRule="auto"/>
        <w:rPr>
          <w:rFonts w:hint="eastAsia" w:ascii="宋体" w:hAnsi="宋体" w:cs="宋体"/>
          <w:sz w:val="24"/>
          <w:highlight w:val="none"/>
          <w:lang w:val="zh-TW" w:bidi="ar"/>
        </w:rPr>
      </w:pPr>
      <w:r>
        <w:rPr>
          <w:rFonts w:hint="eastAsia" w:ascii="宋体" w:hAnsi="宋体" w:cs="宋体"/>
          <w:sz w:val="24"/>
          <w:highlight w:val="none"/>
        </w:rPr>
        <w:t xml:space="preserve">3.</w:t>
      </w:r>
      <w:r>
        <w:rPr>
          <w:rFonts w:hint="eastAsia" w:ascii="宋体" w:hAnsi="宋体" w:cs="宋体"/>
          <w:sz w:val="24"/>
          <w:highlight w:val="none"/>
          <w:lang w:val="zh-TW" w:bidi="ar"/>
        </w:rPr>
        <w:t xml:space="preserve">关于常州市中小企业政府采购信用融资：</w:t>
      </w:r>
      <w:r>
        <w:rPr>
          <w:rFonts w:hint="eastAsia" w:ascii="宋体" w:hAnsi="宋体" w:cs="宋体"/>
          <w:sz w:val="24"/>
          <w:highlight w:val="none"/>
          <w:lang w:val="zh-TW" w:bidi="ar"/>
        </w:rPr>
      </w:r>
      <w:r/>
    </w:p>
    <w:p>
      <w:pPr>
        <w:pStyle w:val="777"/>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 w:val="24"/>
          <w:highlight w:val="none"/>
          <w:lang w:bidi="ar"/>
        </w:rPr>
      </w:r>
      <w:r/>
    </w:p>
    <w:p>
      <w:pPr>
        <w:pStyle w:val="777"/>
        <w:spacing w:line="360" w:lineRule="auto"/>
        <w:rPr>
          <w:rFonts w:hint="eastAsia" w:ascii="宋体" w:hAnsi="宋体"/>
          <w:b/>
          <w:bCs/>
          <w:sz w:val="24"/>
          <w:highlight w:val="none"/>
        </w:rPr>
      </w:pPr>
      <w:r/>
      <w:bookmarkStart w:id="23" w:name="_Toc28359085"/>
      <w:r/>
      <w:bookmarkStart w:id="24" w:name="_Toc35393796"/>
      <w:r/>
      <w:bookmarkStart w:id="25" w:name="_Toc35393627"/>
      <w:r/>
      <w:bookmarkStart w:id="26" w:name="_Toc28359008"/>
      <w:r>
        <w:rPr>
          <w:rFonts w:hint="eastAsia" w:ascii="宋体" w:hAnsi="宋体"/>
          <w:b/>
          <w:bCs/>
          <w:sz w:val="24"/>
          <w:highlight w:val="none"/>
        </w:rPr>
        <w:t xml:space="preserve">八、对本项目提出询问，请按以下方式联系。</w:t>
      </w:r>
      <w:bookmarkEnd w:id="23"/>
      <w:r/>
      <w:bookmarkEnd w:id="24"/>
      <w:r/>
      <w:bookmarkEnd w:id="25"/>
      <w:r/>
      <w:bookmarkEnd w:id="26"/>
      <w:r>
        <w:rPr>
          <w:rFonts w:hint="eastAsia" w:ascii="宋体" w:hAnsi="宋体"/>
          <w:b/>
          <w:bCs/>
          <w:sz w:val="24"/>
          <w:highlight w:val="none"/>
        </w:rPr>
      </w:r>
      <w:r/>
    </w:p>
    <w:p>
      <w:pPr>
        <w:pStyle w:val="777"/>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1.采购人信息</w:t>
      </w:r>
      <w:r>
        <w:rPr>
          <w:rFonts w:hint="eastAsia" w:ascii="宋体" w:hAnsi="宋体" w:cs="宋体"/>
          <w:b/>
          <w:bCs/>
          <w:sz w:val="24"/>
          <w:highlight w:val="none"/>
          <w:lang w:val="zh-TW" w:bidi="ar"/>
        </w:rPr>
      </w:r>
      <w:r/>
    </w:p>
    <w:p>
      <w:pPr>
        <w:pStyle w:val="777"/>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eastAsia="zh-CN" w:bidi="ar"/>
        </w:rPr>
        <w:t xml:space="preserve">江苏常州滨江经济开发区管理委员</w:t>
      </w:r>
      <w:r>
        <w:rPr>
          <w:rFonts w:hint="eastAsia" w:ascii="宋体" w:hAnsi="宋体" w:cs="宋体"/>
          <w:sz w:val="24"/>
          <w:highlight w:val="none"/>
          <w:u w:val="single"/>
          <w:lang w:val="en-US" w:eastAsia="zh-CN" w:bidi="ar"/>
        </w:rPr>
        <w:t xml:space="preserve">会</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777"/>
        <w:ind w:firstLine="480"/>
        <w:jc w:val="left"/>
        <w:spacing w:line="360" w:lineRule="auto"/>
        <w:widowControl/>
        <w:rPr>
          <w:rFonts w:ascii="宋体" w:hAnsi="宋体" w:cs="宋体"/>
          <w:sz w:val="24"/>
          <w:highlight w:val="none"/>
          <w:u w:val="single"/>
          <w:lang w:bidi="ar"/>
        </w:rPr>
      </w:pPr>
      <w:r>
        <w:rPr>
          <w:rFonts w:hint="eastAsia" w:ascii="宋体" w:hAnsi="宋体" w:cs="宋体"/>
          <w:sz w:val="24"/>
          <w:highlight w:val="none"/>
          <w:lang w:val="zh-TW" w:bidi="ar"/>
        </w:rPr>
        <w:t xml:space="preserve">地    址：</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bidi="ar"/>
        </w:rPr>
        <w:t xml:space="preserve">常州市新北区东海路常州滨江国际企业港1号楼 </w:t>
      </w:r>
      <w:r>
        <w:rPr>
          <w:rFonts w:ascii="宋体" w:hAnsi="宋体" w:cs="宋体"/>
          <w:sz w:val="24"/>
          <w:highlight w:val="none"/>
          <w:u w:val="single"/>
          <w:lang w:bidi="ar"/>
        </w:rPr>
      </w:r>
      <w:r/>
    </w:p>
    <w:p>
      <w:pPr>
        <w:pStyle w:val="777"/>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联系方式：</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 xml:space="preserve"> </w:t>
      </w:r>
      <w:r>
        <w:rPr>
          <w:rFonts w:hint="eastAsia" w:ascii="宋体" w:hAnsi="宋体" w:cs="宋体"/>
          <w:sz w:val="24"/>
          <w:highlight w:val="none"/>
          <w:u w:val="single"/>
          <w:lang w:val="en-US" w:eastAsia="zh-CN" w:bidi="ar"/>
        </w:rPr>
        <w:t xml:space="preserve">姚先生、0519-81591179</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777"/>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2.采购代理机构信息</w:t>
      </w:r>
      <w:r>
        <w:rPr>
          <w:rFonts w:hint="eastAsia" w:ascii="宋体" w:hAnsi="宋体" w:cs="宋体"/>
          <w:b/>
          <w:bCs/>
          <w:sz w:val="24"/>
          <w:highlight w:val="none"/>
          <w:lang w:val="zh-TW" w:bidi="ar"/>
        </w:rPr>
      </w:r>
      <w:r/>
    </w:p>
    <w:p>
      <w:pPr>
        <w:pStyle w:val="777"/>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zh-TW" w:eastAsia="zh-CN" w:bidi="ar"/>
        </w:rPr>
        <w:t xml:space="preserve">常州承宇工程顾问有限公司</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777"/>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地    址：</w:t>
      </w:r>
      <w:r>
        <w:rPr>
          <w:rFonts w:hint="eastAsia" w:ascii="宋体" w:hAnsi="宋体" w:cs="宋体"/>
          <w:sz w:val="24"/>
          <w:highlight w:val="none"/>
          <w:u w:val="single"/>
          <w:lang w:val="zh-TW" w:bidi="ar"/>
        </w:rPr>
        <w:t xml:space="preserve"> 常州市新北区太湖中路18号5楼</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777"/>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联系方式：</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777"/>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3.项目联系方式</w:t>
      </w:r>
      <w:r>
        <w:rPr>
          <w:rFonts w:hint="eastAsia" w:ascii="宋体" w:hAnsi="宋体" w:cs="宋体"/>
          <w:b/>
          <w:bCs/>
          <w:sz w:val="24"/>
          <w:highlight w:val="none"/>
          <w:lang w:val="zh-TW" w:bidi="ar"/>
        </w:rPr>
      </w:r>
      <w:r/>
    </w:p>
    <w:p>
      <w:pPr>
        <w:pStyle w:val="777"/>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项目联系人：</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 xml:space="preserve">龚先生</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777"/>
        <w:ind w:firstLine="480"/>
        <w:jc w:val="left"/>
        <w:spacing w:line="360" w:lineRule="auto"/>
        <w:rPr>
          <w:sz w:val="24"/>
          <w:highlight w:val="none"/>
        </w:rPr>
      </w:pPr>
      <w:r>
        <w:rPr>
          <w:rFonts w:hint="eastAsia" w:ascii="宋体" w:hAnsi="宋体" w:cs="宋体"/>
          <w:sz w:val="24"/>
          <w:highlight w:val="none"/>
          <w:lang w:val="zh-TW" w:bidi="ar"/>
        </w:rPr>
        <w:t xml:space="preserve">电      话：</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r>
        <w:rPr>
          <w:sz w:val="24"/>
          <w:highlight w:val="none"/>
        </w:rPr>
      </w:r>
      <w:r/>
    </w:p>
    <w:p>
      <w:pPr>
        <w:pStyle w:val="777"/>
        <w:ind w:firstLine="480"/>
        <w:jc w:val="both"/>
        <w:spacing w:line="360" w:lineRule="auto"/>
        <w:rPr>
          <w:b/>
          <w:sz w:val="32"/>
          <w:szCs w:val="32"/>
          <w:highlight w:val="none"/>
        </w:rPr>
        <w:outlineLvl w:val="0"/>
      </w:pPr>
      <w:r>
        <w:rPr>
          <w:rFonts w:hint="eastAsia"/>
          <w:sz w:val="24"/>
          <w:highlight w:val="none"/>
          <w:lang w:val="en-US" w:eastAsia="zh-CN"/>
        </w:rPr>
        <w:t xml:space="preserve">注：</w:t>
      </w:r>
      <w:r>
        <w:rPr>
          <w:rFonts w:hint="eastAsia"/>
          <w:sz w:val="24"/>
          <w:highlight w:val="none"/>
          <w:shd w:val="clear" w:color="auto" w:fill="auto"/>
          <w:lang w:val="en-US" w:eastAsia="zh-CN"/>
        </w:rPr>
        <w:t xml:space="preserve">以上信息由于工作需要经本人或机构同意对外公布</w:t>
      </w:r>
      <w:r>
        <w:rPr>
          <w:sz w:val="24"/>
          <w:highlight w:val="none"/>
        </w:rPr>
        <w:br w:type="page" w:clear="all"/>
      </w:r>
      <w:bookmarkStart w:id="27" w:name="_Toc99301420"/>
      <w:r/>
      <w:bookmarkStart w:id="28" w:name="_Toc305158854"/>
      <w:r/>
      <w:bookmarkStart w:id="29" w:name="_Toc353825548"/>
      <w:r/>
      <w:bookmarkStart w:id="30" w:name="_Toc127151777"/>
      <w:r/>
      <w:bookmarkStart w:id="31" w:name="_Toc127161488"/>
      <w:r/>
      <w:bookmarkStart w:id="32" w:name="_Toc265228423"/>
      <w:r/>
      <w:bookmarkStart w:id="33" w:name="_Toc226965856"/>
      <w:r/>
      <w:bookmarkStart w:id="34" w:name="_Toc305158928"/>
      <w:r/>
      <w:bookmarkStart w:id="35" w:name="_Toc512937850"/>
      <w:r/>
      <w:bookmarkStart w:id="36" w:name="_Toc195842950"/>
      <w:r/>
      <w:bookmarkStart w:id="37" w:name="_Toc353873938"/>
      <w:r/>
      <w:bookmarkStart w:id="38" w:name="_Toc150774783"/>
      <w:r/>
      <w:bookmarkStart w:id="39" w:name="_Toc264969275"/>
      <w:r>
        <w:rPr>
          <w:b/>
          <w:sz w:val="36"/>
          <w:szCs w:val="36"/>
          <w:highlight w:val="none"/>
        </w:rPr>
        <w:t xml:space="preserve">第二章   投标人须知</w:t>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Pr>
          <w:b/>
          <w:sz w:val="32"/>
          <w:szCs w:val="32"/>
          <w:highlight w:val="none"/>
        </w:rPr>
      </w:r>
      <w:r/>
    </w:p>
    <w:p>
      <w:pPr>
        <w:pStyle w:val="779"/>
        <w:spacing w:before="0" w:line="360" w:lineRule="auto"/>
        <w:tabs>
          <w:tab w:val="center" w:pos="4592" w:leader="none"/>
          <w:tab w:val="left" w:pos="7860" w:leader="none"/>
        </w:tabs>
        <w:rPr>
          <w:rFonts w:ascii="Times New Roman" w:hAnsi="Times New Roman" w:eastAsia="宋体"/>
          <w:sz w:val="28"/>
          <w:highlight w:val="none"/>
        </w:rPr>
      </w:pPr>
      <w:r/>
      <w:bookmarkStart w:id="40" w:name="_Toc164608788"/>
      <w:r/>
      <w:bookmarkStart w:id="41" w:name="_Toc150774724"/>
      <w:r/>
      <w:bookmarkStart w:id="42" w:name="_Toc150509270"/>
      <w:r/>
      <w:bookmarkStart w:id="43" w:name="_Toc142311021"/>
      <w:r/>
      <w:bookmarkStart w:id="44" w:name="_Toc127151519"/>
      <w:r/>
      <w:bookmarkStart w:id="45" w:name="_Toc127161433"/>
      <w:r/>
      <w:bookmarkStart w:id="46" w:name="_Toc151193617"/>
      <w:r/>
      <w:bookmarkStart w:id="47" w:name="_Toc164229360"/>
      <w:r/>
      <w:bookmarkStart w:id="48" w:name="_Toc164608633"/>
      <w:r/>
      <w:bookmarkStart w:id="49" w:name="_Toc195842884"/>
      <w:r/>
      <w:bookmarkStart w:id="50" w:name="_Toc226965792"/>
      <w:r/>
      <w:bookmarkStart w:id="51" w:name="_Toc164229214"/>
      <w:r/>
      <w:bookmarkStart w:id="52" w:name="_Toc520356144"/>
      <w:r/>
      <w:bookmarkStart w:id="53" w:name="_Toc151190146"/>
      <w:r/>
      <w:bookmarkStart w:id="54" w:name="_Toc164351613"/>
      <w:r/>
      <w:bookmarkStart w:id="55" w:name="_Toc151193761"/>
      <w:r/>
      <w:bookmarkStart w:id="56" w:name="_Toc151193907"/>
      <w:r/>
      <w:bookmarkStart w:id="57" w:name="_Toc226309763"/>
      <w:r/>
      <w:bookmarkStart w:id="58" w:name="_Toc150480757"/>
      <w:r/>
      <w:bookmarkStart w:id="59" w:name="_Toc127151720"/>
      <w:r/>
      <w:bookmarkStart w:id="60" w:name="_Toc150774619"/>
      <w:r/>
      <w:bookmarkStart w:id="61" w:name="_Toc151193689"/>
      <w:r/>
      <w:bookmarkStart w:id="62" w:name="_Toc226337215"/>
      <w:r/>
      <w:bookmarkStart w:id="63" w:name="_Toc149720812"/>
      <w:r/>
      <w:bookmarkStart w:id="64" w:name="_Toc151193833"/>
      <w:r/>
      <w:bookmarkStart w:id="65" w:name="_Toc226965709"/>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777"/>
        <w:jc w:val="center"/>
        <w:rPr>
          <w:b/>
          <w:sz w:val="28"/>
          <w:szCs w:val="28"/>
          <w:highlight w:val="none"/>
        </w:rPr>
      </w:pPr>
      <w:r>
        <w:rPr>
          <w:b/>
          <w:sz w:val="28"/>
          <w:szCs w:val="28"/>
          <w:highlight w:val="none"/>
        </w:rPr>
      </w:r>
      <w:r/>
    </w:p>
    <w:p>
      <w:pPr>
        <w:pStyle w:val="777"/>
        <w:ind w:firstLine="480"/>
        <w:spacing w:line="360" w:lineRule="auto"/>
        <w:rPr>
          <w:sz w:val="24"/>
          <w:highlight w:val="none"/>
        </w:rPr>
      </w:pPr>
      <w:r>
        <w:rPr>
          <w:sz w:val="24"/>
          <w:highlight w:val="none"/>
        </w:rPr>
        <w:t xml:space="preserve">本表是对投标人须知的具体补充和修改，如有矛盾，均以本资料表为准。</w:t>
      </w:r>
      <w:r>
        <w:rPr>
          <w:rFonts w:hint="eastAsia" w:ascii="宋体" w:hAnsi="宋体" w:cs="宋体"/>
          <w:sz w:val="24"/>
          <w:highlight w:val="none"/>
          <w:lang w:val="zh-TW" w:bidi="ar"/>
        </w:rPr>
        <w:t xml:space="preserve">标记“■”的选项意为适用于本项目，标记“□”的选项意为不适用于本项目。</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77"/>
              <w:jc w:val="center"/>
              <w:rPr>
                <w:rFonts w:hint="eastAsia" w:ascii="宋体" w:hAnsi="宋体" w:cs="宋体"/>
                <w:b/>
                <w:bCs/>
                <w:sz w:val="24"/>
                <w:highlight w:val="none"/>
              </w:rPr>
            </w:pPr>
            <w:r>
              <w:rPr>
                <w:rFonts w:hint="eastAsia" w:ascii="宋体" w:hAnsi="宋体" w:cs="宋体"/>
                <w:b/>
                <w:sz w:val="24"/>
                <w:highlight w:val="none"/>
              </w:rPr>
              <w:t xml:space="preserve">条款号</w:t>
            </w:r>
            <w:r>
              <w:rPr>
                <w:rFonts w:hint="eastAsia" w:ascii="宋体" w:hAnsi="宋体" w:cs="宋体"/>
                <w:b/>
                <w:bCs/>
                <w:sz w:val="24"/>
                <w:highlight w:val="none"/>
              </w:rPr>
            </w:r>
            <w:r/>
          </w:p>
        </w:tc>
        <w:tc>
          <w:tcPr>
            <w:tcW w:w="1701" w:type="dxa"/>
            <w:vAlign w:val="center"/>
            <w:textDirection w:val="lrTb"/>
            <w:noWrap w:val="false"/>
          </w:tcPr>
          <w:p>
            <w:pPr>
              <w:pStyle w:val="777"/>
              <w:jc w:val="center"/>
              <w:rPr>
                <w:rFonts w:hint="eastAsia" w:ascii="宋体" w:hAnsi="宋体" w:cs="宋体"/>
                <w:b/>
                <w:bCs/>
                <w:sz w:val="24"/>
                <w:highlight w:val="none"/>
              </w:rPr>
            </w:pPr>
            <w:r>
              <w:rPr>
                <w:rFonts w:hint="eastAsia" w:ascii="宋体" w:hAnsi="宋体" w:cs="宋体"/>
                <w:b/>
                <w:bCs/>
                <w:sz w:val="24"/>
                <w:highlight w:val="none"/>
              </w:rPr>
              <w:t xml:space="preserve">条目</w:t>
            </w:r>
            <w:r>
              <w:rPr>
                <w:rFonts w:hint="eastAsia" w:ascii="宋体" w:hAnsi="宋体" w:cs="宋体"/>
                <w:b/>
                <w:bCs/>
                <w:sz w:val="24"/>
                <w:highlight w:val="none"/>
              </w:rPr>
            </w:r>
            <w:r/>
          </w:p>
        </w:tc>
        <w:tc>
          <w:tcPr>
            <w:tcW w:w="7253" w:type="dxa"/>
            <w:vAlign w:val="center"/>
            <w:textDirection w:val="lrTb"/>
            <w:noWrap w:val="false"/>
          </w:tcPr>
          <w:p>
            <w:pPr>
              <w:pStyle w:val="777"/>
              <w:jc w:val="center"/>
              <w:rPr>
                <w:rFonts w:hint="eastAsia" w:ascii="宋体" w:hAnsi="宋体" w:cs="宋体"/>
                <w:b/>
                <w:bCs/>
                <w:sz w:val="24"/>
                <w:highlight w:val="none"/>
              </w:rPr>
            </w:pPr>
            <w:r>
              <w:rPr>
                <w:rFonts w:hint="eastAsia" w:ascii="宋体" w:hAnsi="宋体" w:cs="宋体"/>
                <w:b/>
                <w:bCs/>
                <w:sz w:val="24"/>
                <w:highlight w:val="none"/>
              </w:rPr>
              <w:t xml:space="preserve">内容</w:t>
            </w:r>
            <w:r>
              <w:rPr>
                <w:rFonts w:hint="eastAsia" w:ascii="宋体" w:hAnsi="宋体" w:cs="宋体"/>
                <w:b/>
                <w:bCs/>
                <w:sz w:val="24"/>
                <w:highlight w:val="none"/>
              </w:rPr>
            </w:r>
            <w:r/>
          </w:p>
        </w:tc>
      </w:tr>
      <w:tr>
        <w:trPr>
          <w:trHeight w:val="20"/>
        </w:trPr>
        <w:tc>
          <w:tcPr>
            <w:tcW w:w="988" w:type="dxa"/>
            <w:vAlign w:val="center"/>
            <w:textDirection w:val="lrTb"/>
            <w:noWrap w:val="false"/>
          </w:tcPr>
          <w:p>
            <w:pPr>
              <w:pStyle w:val="816"/>
              <w:jc w:val="center"/>
              <w:rPr>
                <w:rFonts w:hAnsi="宋体" w:cs="宋体"/>
                <w:sz w:val="24"/>
                <w:szCs w:val="24"/>
                <w:highlight w:val="none"/>
              </w:rPr>
            </w:pPr>
            <w:r>
              <w:rPr>
                <w:rFonts w:hAnsi="宋体" w:cs="宋体"/>
                <w:sz w:val="24"/>
                <w:szCs w:val="24"/>
                <w:highlight w:val="none"/>
              </w:rPr>
              <w:t xml:space="preserve">2.2</w:t>
            </w:r>
            <w:r>
              <w:rPr>
                <w:rFonts w:hAnsi="宋体" w:cs="宋体"/>
                <w:sz w:val="24"/>
                <w:szCs w:val="24"/>
                <w:highlight w:val="none"/>
              </w:rPr>
            </w:r>
            <w:r/>
          </w:p>
        </w:tc>
        <w:tc>
          <w:tcPr>
            <w:tcW w:w="1701"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tc>
        <w:tc>
          <w:tcPr>
            <w:tcW w:w="7253" w:type="dxa"/>
            <w:vAlign w:val="center"/>
            <w:textDirection w:val="lrTb"/>
            <w:noWrap w:val="false"/>
          </w:tcPr>
          <w:p>
            <w:pPr>
              <w:pStyle w:val="777"/>
              <w:jc w:val="left"/>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服务</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货物</w:t>
            </w:r>
            <w:r>
              <w:rPr>
                <w:rFonts w:hint="eastAsia" w:ascii="宋体" w:hAnsi="宋体" w:cs="宋体"/>
                <w:sz w:val="24"/>
                <w:highlight w:val="none"/>
              </w:rPr>
            </w:r>
            <w:r/>
          </w:p>
          <w:p>
            <w:pPr>
              <w:pStyle w:val="777"/>
              <w:jc w:val="left"/>
              <w:rPr>
                <w:rFonts w:hint="eastAsia" w:ascii="宋体" w:hAnsi="宋体" w:cs="宋体"/>
                <w:sz w:val="24"/>
                <w:highlight w:val="none"/>
                <w:u w:val="single"/>
              </w:rPr>
            </w:pPr>
            <w:r>
              <w:rPr>
                <w:rFonts w:hint="eastAsia" w:ascii="宋体" w:hAnsi="宋体" w:cs="宋体"/>
                <w:sz w:val="24"/>
                <w:highlight w:val="none"/>
              </w:rPr>
              <w:t xml:space="preserve">工程</w:t>
            </w:r>
            <w:r>
              <w:rPr>
                <w:rFonts w:hint="eastAsia" w:ascii="宋体" w:hAnsi="宋体" w:cs="宋体"/>
                <w:sz w:val="24"/>
                <w:highlight w:val="none"/>
                <w:u w:val="single"/>
              </w:rPr>
            </w:r>
            <w:r/>
          </w:p>
        </w:tc>
      </w:tr>
      <w:tr>
        <w:trPr>
          <w:trHeight w:val="636"/>
        </w:trPr>
        <w:tc>
          <w:tcPr>
            <w:tcW w:w="988" w:type="dxa"/>
            <w:vAlign w:val="center"/>
            <w:textDirection w:val="lrTb"/>
            <w:noWrap w:val="false"/>
          </w:tcPr>
          <w:p>
            <w:pPr>
              <w:pStyle w:val="816"/>
              <w:jc w:val="center"/>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2.3</w:t>
            </w:r>
            <w:r>
              <w:rPr>
                <w:rFonts w:hAnsi="宋体" w:eastAsia="宋体" w:cs="宋体"/>
                <w:sz w:val="24"/>
                <w:szCs w:val="24"/>
                <w:highlight w:val="none"/>
                <w:lang w:val="en-US" w:eastAsia="zh-CN"/>
              </w:rPr>
            </w:r>
            <w:r/>
          </w:p>
        </w:tc>
        <w:tc>
          <w:tcPr>
            <w:tcW w:w="1701" w:type="dxa"/>
            <w:vAlign w:val="center"/>
            <w:textDirection w:val="lrTb"/>
            <w:noWrap w:val="false"/>
          </w:tcPr>
          <w:p>
            <w:pPr>
              <w:pStyle w:val="777"/>
              <w:jc w:val="center"/>
              <w:rPr>
                <w:rFonts w:hint="eastAsia" w:ascii="宋体" w:hAnsi="宋体" w:cs="宋体"/>
                <w:sz w:val="24"/>
                <w:highlight w:val="none"/>
              </w:rPr>
            </w:pPr>
            <w:r>
              <w:rPr>
                <w:rFonts w:ascii="宋体" w:hAnsi="宋体" w:eastAsia="宋体" w:cs="宋体"/>
                <w:sz w:val="24"/>
                <w:szCs w:val="24"/>
                <w:highlight w:val="none"/>
              </w:rPr>
              <w:t xml:space="preserve">科研仪器设备</w:t>
            </w:r>
            <w:r>
              <w:rPr>
                <w:rFonts w:hint="eastAsia" w:ascii="宋体" w:hAnsi="宋体" w:cs="宋体"/>
                <w:sz w:val="24"/>
                <w:highlight w:val="none"/>
              </w:rPr>
            </w:r>
            <w:r/>
          </w:p>
        </w:tc>
        <w:tc>
          <w:tcPr>
            <w:tcW w:w="7253" w:type="dxa"/>
            <w:vAlign w:val="center"/>
            <w:textDirection w:val="lrTb"/>
            <w:noWrap w:val="false"/>
          </w:tcPr>
          <w:p>
            <w:pPr>
              <w:pStyle w:val="777"/>
              <w:jc w:val="left"/>
              <w:rPr>
                <w:rFonts w:ascii="宋体" w:hAnsi="宋体" w:eastAsia="宋体" w:cs="宋体"/>
                <w:sz w:val="24"/>
                <w:szCs w:val="24"/>
                <w:highlight w:val="none"/>
              </w:rPr>
            </w:pPr>
            <w:r>
              <w:rPr>
                <w:rFonts w:ascii="宋体" w:hAnsi="宋体" w:eastAsia="宋体" w:cs="宋体"/>
                <w:sz w:val="24"/>
                <w:szCs w:val="24"/>
                <w:highlight w:val="none"/>
              </w:rPr>
              <w:t xml:space="preserve">是否属于科研仪器设备采购项目：</w:t>
            </w:r>
            <w:r>
              <w:rPr>
                <w:rFonts w:ascii="宋体" w:hAnsi="宋体" w:eastAsia="宋体" w:cs="宋体"/>
                <w:sz w:val="24"/>
                <w:szCs w:val="24"/>
                <w:highlight w:val="none"/>
              </w:rPr>
            </w:r>
            <w:r/>
          </w:p>
          <w:p>
            <w:pPr>
              <w:pStyle w:val="777"/>
              <w:jc w:val="left"/>
              <w:rPr>
                <w:rFonts w:hint="eastAsia" w:ascii="宋体" w:hAnsi="宋体" w:eastAsia="宋体" w:cs="宋体"/>
                <w:sz w:val="24"/>
                <w:highlight w:val="none"/>
                <w:lang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是</w:t>
            </w:r>
            <w:r>
              <w:rPr>
                <w:rFonts w:hint="eastAsia" w:ascii="宋体" w:hAnsi="宋体" w:eastAsia="宋体" w:cs="宋体"/>
                <w:sz w:val="24"/>
                <w:highlight w:val="none"/>
                <w:lang w:eastAsia="zh-CN"/>
              </w:rPr>
            </w:r>
            <w:r/>
          </w:p>
          <w:p>
            <w:pPr>
              <w:pStyle w:val="777"/>
              <w:jc w:val="left"/>
              <w:rPr>
                <w:rFonts w:hint="eastAsia" w:ascii="宋体" w:hAnsi="宋体" w:eastAsia="宋体" w:cs="宋体"/>
                <w:sz w:val="24"/>
                <w:highlight w:val="none"/>
                <w:lang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否</w:t>
            </w:r>
            <w:r>
              <w:rPr>
                <w:rFonts w:hint="eastAsia" w:ascii="宋体" w:hAnsi="宋体" w:eastAsia="宋体" w:cs="宋体"/>
                <w:sz w:val="24"/>
                <w:highlight w:val="none"/>
                <w:lang w:eastAsia="zh-CN"/>
              </w:rPr>
            </w:r>
            <w:r/>
          </w:p>
        </w:tc>
      </w:tr>
      <w:tr>
        <w:trPr>
          <w:trHeight w:val="20"/>
        </w:trPr>
        <w:tc>
          <w:tcPr>
            <w:tcW w:w="988" w:type="dxa"/>
            <w:vAlign w:val="center"/>
            <w:vMerge w:val="restart"/>
            <w:textDirection w:val="lrTb"/>
            <w:noWrap w:val="false"/>
          </w:tcPr>
          <w:p>
            <w:pPr>
              <w:pStyle w:val="816"/>
              <w:jc w:val="center"/>
              <w:rPr>
                <w:rFonts w:hAnsi="宋体" w:cs="宋体"/>
                <w:sz w:val="24"/>
                <w:szCs w:val="24"/>
                <w:highlight w:val="none"/>
              </w:rPr>
            </w:pPr>
            <w:r>
              <w:rPr>
                <w:rFonts w:hAnsi="宋体" w:cs="宋体"/>
                <w:sz w:val="24"/>
                <w:szCs w:val="24"/>
                <w:highlight w:val="none"/>
              </w:rPr>
              <w:t xml:space="preserve">3.1</w:t>
            </w:r>
            <w:r>
              <w:rPr>
                <w:rFonts w:hAnsi="宋体" w:cs="宋体"/>
                <w:sz w:val="24"/>
                <w:szCs w:val="24"/>
                <w:highlight w:val="none"/>
              </w:rPr>
            </w:r>
            <w:r/>
          </w:p>
        </w:tc>
        <w:tc>
          <w:tcPr>
            <w:tcW w:w="1701"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sz w:val="24"/>
                <w:highlight w:val="none"/>
              </w:rPr>
              <w:t xml:space="preserve">现场考察</w:t>
            </w:r>
            <w:r>
              <w:rPr>
                <w:rFonts w:hint="eastAsia" w:ascii="宋体" w:hAnsi="宋体" w:cs="宋体"/>
                <w:sz w:val="24"/>
                <w:highlight w:val="none"/>
              </w:rPr>
            </w:r>
            <w:r/>
          </w:p>
        </w:tc>
        <w:tc>
          <w:tcPr>
            <w:tcW w:w="7253" w:type="dxa"/>
            <w:vAlign w:val="center"/>
            <w:textDirection w:val="lrTb"/>
            <w:noWrap w:val="false"/>
          </w:tcPr>
          <w:p>
            <w:pPr>
              <w:pStyle w:val="777"/>
              <w:jc w:val="left"/>
              <w:rPr>
                <w:rFonts w:hint="eastAsia" w:ascii="宋体" w:hAnsi="宋体" w:cs="宋体"/>
                <w:sz w:val="24"/>
                <w:highlight w:val="none"/>
              </w:rPr>
            </w:pPr>
            <w:r>
              <w:rPr>
                <w:rFonts w:hint="eastAsia" w:ascii="宋体" w:hAnsi="宋体" w:cs="宋体"/>
                <w:sz w:val="24"/>
                <w:highlight w:val="none"/>
              </w:rPr>
              <w:t xml:space="preserve">■不组织</w:t>
            </w:r>
            <w:r>
              <w:rPr>
                <w:rFonts w:hint="eastAsia" w:ascii="宋体" w:hAnsi="宋体" w:cs="宋体"/>
                <w:sz w:val="24"/>
                <w:highlight w:val="none"/>
              </w:rPr>
            </w:r>
            <w:r/>
          </w:p>
          <w:p>
            <w:pPr>
              <w:pStyle w:val="777"/>
              <w:jc w:val="left"/>
              <w:rPr>
                <w:rFonts w:hint="eastAsia"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分</w:t>
            </w:r>
            <w:r>
              <w:rPr>
                <w:rFonts w:hint="eastAsia" w:ascii="宋体" w:hAnsi="宋体" w:cs="宋体"/>
                <w:bCs/>
                <w:sz w:val="24"/>
                <w:highlight w:val="none"/>
              </w:rPr>
            </w:r>
            <w:r/>
          </w:p>
          <w:p>
            <w:pPr>
              <w:pStyle w:val="816"/>
              <w:rPr>
                <w:rFonts w:hAnsi="宋体" w:cs="宋体"/>
                <w:sz w:val="24"/>
                <w:szCs w:val="24"/>
                <w:highlight w:val="none"/>
              </w:rPr>
            </w:pPr>
            <w:r>
              <w:rPr>
                <w:rFonts w:hAnsi="宋体" w:cs="宋体"/>
                <w:sz w:val="24"/>
                <w:szCs w:val="24"/>
                <w:highlight w:val="none"/>
              </w:rPr>
              <w:t xml:space="preserve">考察地点：</w:t>
            </w:r>
            <w:r>
              <w:rPr>
                <w:rFonts w:hAnsi="宋体" w:cs="宋体"/>
                <w:sz w:val="24"/>
                <w:szCs w:val="24"/>
                <w:highlight w:val="none"/>
                <w:u w:val="single"/>
              </w:rPr>
              <w:t xml:space="preserve">  /  </w:t>
            </w:r>
            <w:r>
              <w:rPr>
                <w:rFonts w:hAnsi="宋体" w:cs="宋体"/>
                <w:sz w:val="24"/>
                <w:szCs w:val="24"/>
                <w:highlight w:val="none"/>
              </w:rPr>
              <w:t xml:space="preserve">。</w:t>
            </w:r>
            <w:r>
              <w:rPr>
                <w:rFonts w:hAnsi="宋体" w:cs="宋体"/>
                <w:sz w:val="24"/>
                <w:szCs w:val="24"/>
                <w:highlight w:val="none"/>
              </w:rPr>
            </w:r>
            <w:r/>
          </w:p>
        </w:tc>
      </w:tr>
      <w:tr>
        <w:trPr>
          <w:trHeight w:val="20"/>
        </w:trPr>
        <w:tc>
          <w:tcPr>
            <w:tcW w:w="988" w:type="dxa"/>
            <w:vAlign w:val="center"/>
            <w:vMerge w:val="continue"/>
            <w:textDirection w:val="lrTb"/>
            <w:noWrap w:val="false"/>
          </w:tcPr>
          <w:p>
            <w:pPr>
              <w:pStyle w:val="816"/>
              <w:jc w:val="center"/>
              <w:rPr>
                <w:rFonts w:hAnsi="宋体" w:cs="宋体"/>
                <w:sz w:val="24"/>
                <w:szCs w:val="24"/>
                <w:highlight w:val="none"/>
              </w:rPr>
            </w:pPr>
            <w:r>
              <w:rPr>
                <w:rFonts w:hAnsi="宋体" w:cs="宋体"/>
                <w:sz w:val="24"/>
                <w:szCs w:val="24"/>
                <w:highlight w:val="none"/>
              </w:rPr>
            </w:r>
            <w:r/>
          </w:p>
        </w:tc>
        <w:tc>
          <w:tcPr>
            <w:tcW w:w="1701"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sz w:val="24"/>
                <w:highlight w:val="none"/>
                <w:lang w:val="en-US" w:eastAsia="zh-CN"/>
              </w:rPr>
              <w:t xml:space="preserve">开标</w:t>
            </w:r>
            <w:r>
              <w:rPr>
                <w:rFonts w:hint="eastAsia" w:ascii="宋体" w:hAnsi="宋体" w:cs="宋体"/>
                <w:sz w:val="24"/>
                <w:highlight w:val="none"/>
              </w:rPr>
              <w:t xml:space="preserve">前答疑会</w:t>
            </w:r>
            <w:r>
              <w:rPr>
                <w:rFonts w:hint="eastAsia" w:ascii="宋体" w:hAnsi="宋体" w:cs="宋体"/>
                <w:sz w:val="24"/>
                <w:highlight w:val="none"/>
              </w:rPr>
            </w:r>
            <w:r/>
          </w:p>
        </w:tc>
        <w:tc>
          <w:tcPr>
            <w:tcW w:w="7253" w:type="dxa"/>
            <w:vAlign w:val="center"/>
            <w:textDirection w:val="lrTb"/>
            <w:noWrap w:val="false"/>
          </w:tcPr>
          <w:p>
            <w:pPr>
              <w:pStyle w:val="777"/>
              <w:jc w:val="left"/>
              <w:rPr>
                <w:rFonts w:hint="eastAsia" w:ascii="宋体" w:hAnsi="宋体" w:cs="宋体"/>
                <w:sz w:val="24"/>
                <w:highlight w:val="none"/>
              </w:rPr>
            </w:pPr>
            <w:r>
              <w:rPr>
                <w:rFonts w:hint="eastAsia" w:ascii="宋体" w:hAnsi="宋体" w:cs="宋体"/>
                <w:sz w:val="24"/>
                <w:highlight w:val="none"/>
              </w:rPr>
              <w:t xml:space="preserve">■不召开</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分</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tc>
      </w:tr>
      <w:tr>
        <w:trPr>
          <w:trHeight w:val="1535"/>
        </w:trPr>
        <w:tc>
          <w:tcPr>
            <w:tcW w:w="988" w:type="dxa"/>
            <w:vAlign w:val="center"/>
            <w:textDirection w:val="lrTb"/>
            <w:noWrap w:val="false"/>
          </w:tcPr>
          <w:p>
            <w:pPr>
              <w:pStyle w:val="816"/>
              <w:jc w:val="center"/>
              <w:rPr>
                <w:rFonts w:hAnsi="宋体" w:cs="宋体"/>
                <w:sz w:val="24"/>
                <w:szCs w:val="24"/>
                <w:highlight w:val="none"/>
              </w:rPr>
            </w:pPr>
            <w:r>
              <w:rPr>
                <w:rFonts w:hAnsi="宋体" w:cs="宋体"/>
                <w:sz w:val="24"/>
                <w:szCs w:val="24"/>
                <w:highlight w:val="none"/>
              </w:rPr>
              <w:t xml:space="preserve">4.2.5</w:t>
            </w:r>
            <w:r>
              <w:rPr>
                <w:rFonts w:hAnsi="宋体" w:cs="宋体"/>
                <w:sz w:val="24"/>
                <w:szCs w:val="24"/>
                <w:highlight w:val="none"/>
              </w:rPr>
            </w:r>
            <w:r/>
          </w:p>
        </w:tc>
        <w:tc>
          <w:tcPr>
            <w:tcW w:w="1701"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sz w:val="24"/>
                <w:highlight w:val="none"/>
              </w:rPr>
              <w:t xml:space="preserve">标的所属行业</w:t>
            </w:r>
            <w:r>
              <w:rPr>
                <w:rFonts w:hint="eastAsia" w:ascii="宋体" w:hAnsi="宋体" w:cs="宋体"/>
                <w:sz w:val="24"/>
                <w:highlight w:val="none"/>
              </w:rPr>
            </w:r>
            <w:r/>
          </w:p>
        </w:tc>
        <w:tc>
          <w:tcPr>
            <w:tcW w:w="7253" w:type="dxa"/>
            <w:vAlign w:val="center"/>
            <w:textDirection w:val="lrTb"/>
            <w:noWrap w:val="false"/>
          </w:tcPr>
          <w:p>
            <w:pPr>
              <w:pStyle w:val="777"/>
              <w:jc w:val="left"/>
              <w:rPr>
                <w:rFonts w:hint="eastAsia"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sz w:val="24"/>
                <w:highlight w:val="none"/>
                <w:u w:val="single"/>
              </w:rPr>
              <w:t xml:space="preserve"> 其他未列明行业 </w:t>
            </w:r>
            <w:r>
              <w:rPr>
                <w:rFonts w:hint="eastAsia" w:ascii="宋体" w:hAnsi="宋体" w:cs="宋体"/>
                <w:sz w:val="24"/>
                <w:highlight w:val="none"/>
              </w:rPr>
            </w:r>
            <w:r/>
          </w:p>
        </w:tc>
      </w:tr>
      <w:tr>
        <w:trPr>
          <w:trHeight w:val="890"/>
        </w:trPr>
        <w:tc>
          <w:tcPr>
            <w:tcW w:w="988" w:type="dxa"/>
            <w:vAlign w:val="center"/>
            <w:textDirection w:val="lrTb"/>
            <w:noWrap w:val="false"/>
          </w:tcPr>
          <w:p>
            <w:pPr>
              <w:pStyle w:val="816"/>
              <w:jc w:val="center"/>
              <w:rPr>
                <w:rFonts w:hAnsi="宋体" w:cs="宋体"/>
                <w:sz w:val="24"/>
                <w:szCs w:val="24"/>
                <w:highlight w:val="none"/>
              </w:rPr>
            </w:pPr>
            <w:r>
              <w:rPr>
                <w:rFonts w:hAnsi="宋体" w:cs="宋体"/>
                <w:sz w:val="24"/>
                <w:szCs w:val="24"/>
                <w:highlight w:val="none"/>
              </w:rPr>
              <w:t xml:space="preserve">10.2</w:t>
            </w:r>
            <w:r>
              <w:rPr>
                <w:rFonts w:hAnsi="宋体" w:cs="宋体"/>
                <w:sz w:val="24"/>
                <w:szCs w:val="24"/>
                <w:highlight w:val="none"/>
              </w:rPr>
            </w:r>
            <w:r/>
          </w:p>
        </w:tc>
        <w:tc>
          <w:tcPr>
            <w:tcW w:w="1701"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sz w:val="24"/>
                <w:highlight w:val="none"/>
              </w:rPr>
              <w:t xml:space="preserve">报价</w:t>
            </w:r>
            <w:r>
              <w:rPr>
                <w:rFonts w:hint="eastAsia" w:ascii="宋体" w:hAnsi="宋体" w:cs="宋体"/>
                <w:sz w:val="24"/>
                <w:highlight w:val="none"/>
              </w:rPr>
            </w:r>
            <w:r/>
          </w:p>
        </w:tc>
        <w:tc>
          <w:tcPr>
            <w:tcW w:w="7253" w:type="dxa"/>
            <w:vAlign w:val="center"/>
            <w:textDirection w:val="lrTb"/>
            <w:noWrap w:val="false"/>
          </w:tcPr>
          <w:p>
            <w:pPr>
              <w:pStyle w:val="777"/>
              <w:jc w:val="left"/>
              <w:rPr>
                <w:rFonts w:hint="eastAsia" w:ascii="宋体" w:hAnsi="宋体" w:cs="宋体"/>
                <w:sz w:val="24"/>
                <w:highlight w:val="none"/>
              </w:rPr>
            </w:pPr>
            <w:r>
              <w:rPr>
                <w:rFonts w:hint="eastAsia" w:ascii="宋体" w:hAnsi="宋体" w:cs="宋体"/>
                <w:sz w:val="24"/>
                <w:highlight w:val="none"/>
              </w:rPr>
              <w:t xml:space="preserve">报价的特殊规定：</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■无</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□有，具体情形：</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tc>
      </w:tr>
      <w:tr>
        <w:trPr>
          <w:trHeight w:val="20"/>
        </w:trPr>
        <w:tc>
          <w:tcPr>
            <w:tcW w:w="988" w:type="dxa"/>
            <w:vAlign w:val="center"/>
            <w:textDirection w:val="lrTb"/>
            <w:noWrap w:val="false"/>
          </w:tcPr>
          <w:p>
            <w:pPr>
              <w:pStyle w:val="816"/>
              <w:jc w:val="center"/>
              <w:rPr>
                <w:rFonts w:hAnsi="宋体" w:cs="宋体"/>
                <w:sz w:val="24"/>
                <w:szCs w:val="24"/>
                <w:highlight w:val="none"/>
              </w:rPr>
            </w:pPr>
            <w:r>
              <w:rPr>
                <w:rFonts w:hAnsi="宋体" w:cs="宋体"/>
                <w:sz w:val="24"/>
                <w:szCs w:val="24"/>
                <w:highlight w:val="none"/>
              </w:rPr>
              <w:t xml:space="preserve">11.1</w:t>
            </w:r>
            <w:r>
              <w:rPr>
                <w:rFonts w:hAnsi="宋体" w:cs="宋体"/>
                <w:sz w:val="24"/>
                <w:szCs w:val="24"/>
                <w:highlight w:val="none"/>
              </w:rPr>
            </w:r>
            <w:r/>
          </w:p>
        </w:tc>
        <w:tc>
          <w:tcPr>
            <w:tcW w:w="1701"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保证金</w:t>
            </w:r>
            <w:r>
              <w:rPr>
                <w:rFonts w:hint="eastAsia" w:ascii="宋体" w:hAnsi="宋体" w:cs="宋体"/>
                <w:sz w:val="24"/>
                <w:highlight w:val="none"/>
              </w:rPr>
            </w:r>
            <w:r/>
          </w:p>
        </w:tc>
        <w:tc>
          <w:tcPr>
            <w:tcW w:w="7253" w:type="dxa"/>
            <w:vAlign w:val="center"/>
            <w:textDirection w:val="lrTb"/>
            <w:noWrap w:val="false"/>
          </w:tcPr>
          <w:p>
            <w:pPr>
              <w:pStyle w:val="777"/>
              <w:jc w:val="left"/>
              <w:rPr>
                <w:rFonts w:hint="eastAsia" w:ascii="宋体" w:hAnsi="宋体" w:cs="宋体"/>
                <w:sz w:val="24"/>
                <w:highlight w:val="none"/>
              </w:rPr>
            </w:pPr>
            <w:r>
              <w:rPr>
                <w:rFonts w:hint="eastAsia" w:ascii="宋体" w:hAnsi="宋体" w:cs="宋体"/>
                <w:sz w:val="24"/>
                <w:highlight w:val="none"/>
              </w:rPr>
              <w:t xml:space="preserve">免收</w:t>
            </w:r>
            <w:r>
              <w:rPr>
                <w:rFonts w:hint="eastAsia" w:ascii="宋体" w:hAnsi="宋体" w:cs="宋体"/>
                <w:sz w:val="24"/>
                <w:highlight w:val="none"/>
              </w:rPr>
            </w:r>
            <w:r/>
          </w:p>
        </w:tc>
      </w:tr>
      <w:tr>
        <w:trPr>
          <w:trHeight w:val="20"/>
        </w:trPr>
        <w:tc>
          <w:tcPr>
            <w:tcW w:w="988" w:type="dxa"/>
            <w:vAlign w:val="center"/>
            <w:textDirection w:val="lrTb"/>
            <w:noWrap w:val="false"/>
          </w:tcPr>
          <w:p>
            <w:pPr>
              <w:pStyle w:val="816"/>
              <w:jc w:val="center"/>
              <w:rPr>
                <w:rFonts w:hAnsi="宋体" w:cs="宋体"/>
                <w:sz w:val="24"/>
                <w:szCs w:val="24"/>
                <w:highlight w:val="none"/>
              </w:rPr>
            </w:pPr>
            <w:r>
              <w:rPr>
                <w:rFonts w:hAnsi="宋体" w:cs="宋体"/>
                <w:sz w:val="24"/>
                <w:szCs w:val="24"/>
                <w:highlight w:val="none"/>
              </w:rPr>
              <w:t xml:space="preserve">12.1</w:t>
            </w:r>
            <w:r>
              <w:rPr>
                <w:rFonts w:hAnsi="宋体" w:cs="宋体"/>
                <w:sz w:val="24"/>
                <w:szCs w:val="24"/>
                <w:highlight w:val="none"/>
              </w:rPr>
            </w:r>
            <w:r/>
          </w:p>
        </w:tc>
        <w:tc>
          <w:tcPr>
            <w:tcW w:w="1701"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sz w:val="24"/>
                <w:highlight w:val="none"/>
              </w:rPr>
              <w:t xml:space="preserve">响应有效期</w:t>
            </w:r>
            <w:r>
              <w:rPr>
                <w:rFonts w:hint="eastAsia" w:ascii="宋体" w:hAnsi="宋体" w:cs="宋体"/>
                <w:sz w:val="24"/>
                <w:highlight w:val="none"/>
              </w:rPr>
            </w:r>
            <w:r/>
          </w:p>
        </w:tc>
        <w:tc>
          <w:tcPr>
            <w:tcW w:w="7253" w:type="dxa"/>
            <w:vAlign w:val="center"/>
            <w:textDirection w:val="lrTb"/>
            <w:noWrap w:val="false"/>
          </w:tcPr>
          <w:p>
            <w:pPr>
              <w:pStyle w:val="777"/>
              <w:jc w:val="left"/>
              <w:rPr>
                <w:rFonts w:hint="eastAsia" w:ascii="宋体" w:hAnsi="宋体" w:cs="宋体"/>
                <w:sz w:val="24"/>
                <w:highlight w:val="none"/>
              </w:rPr>
            </w:pPr>
            <w:r>
              <w:rPr>
                <w:rFonts w:hint="eastAsia" w:ascii="宋体" w:hAnsi="宋体" w:cs="宋体"/>
                <w:sz w:val="24"/>
                <w:highlight w:val="none"/>
              </w:rPr>
              <w:t xml:space="preserve">自提交响应文件的截止之日起算</w:t>
            </w:r>
            <w:r>
              <w:rPr>
                <w:rFonts w:hint="eastAsia" w:ascii="宋体" w:hAnsi="宋体" w:cs="宋体"/>
                <w:sz w:val="24"/>
                <w:highlight w:val="none"/>
                <w:u w:val="single"/>
              </w:rPr>
              <w:t xml:space="preserve"> 60 </w:t>
            </w:r>
            <w:r>
              <w:rPr>
                <w:rFonts w:hint="eastAsia" w:ascii="宋体" w:hAnsi="宋体" w:cs="宋体"/>
                <w:sz w:val="24"/>
                <w:highlight w:val="none"/>
              </w:rPr>
              <w:t xml:space="preserve">日历天。</w:t>
            </w:r>
            <w:r>
              <w:rPr>
                <w:rFonts w:hint="eastAsia" w:ascii="宋体" w:hAnsi="宋体" w:cs="宋体"/>
                <w:sz w:val="24"/>
                <w:highlight w:val="none"/>
              </w:rPr>
            </w:r>
            <w:r/>
          </w:p>
        </w:tc>
      </w:tr>
      <w:tr>
        <w:trPr>
          <w:trHeight w:val="20"/>
        </w:trPr>
        <w:tc>
          <w:tcPr>
            <w:tcW w:w="988" w:type="dxa"/>
            <w:vAlign w:val="center"/>
            <w:textDirection w:val="lrTb"/>
            <w:noWrap w:val="false"/>
          </w:tcPr>
          <w:p>
            <w:pPr>
              <w:pStyle w:val="816"/>
              <w:jc w:val="center"/>
              <w:rPr>
                <w:rFonts w:hAnsi="宋体" w:cs="宋体"/>
                <w:sz w:val="24"/>
                <w:szCs w:val="24"/>
                <w:highlight w:val="none"/>
              </w:rPr>
            </w:pPr>
            <w:r>
              <w:rPr>
                <w:rFonts w:hAnsi="宋体" w:cs="宋体"/>
                <w:sz w:val="24"/>
                <w:szCs w:val="24"/>
                <w:highlight w:val="none"/>
              </w:rPr>
              <w:t xml:space="preserve">23.5</w:t>
            </w:r>
            <w:r>
              <w:rPr>
                <w:rFonts w:hAnsi="宋体" w:cs="宋体"/>
                <w:sz w:val="24"/>
                <w:szCs w:val="24"/>
                <w:highlight w:val="none"/>
              </w:rPr>
            </w:r>
            <w:r/>
          </w:p>
        </w:tc>
        <w:tc>
          <w:tcPr>
            <w:tcW w:w="1701"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sz w:val="24"/>
                <w:highlight w:val="none"/>
              </w:rPr>
              <w:t xml:space="preserve">分包</w:t>
            </w:r>
            <w:r>
              <w:rPr>
                <w:rFonts w:hint="eastAsia" w:ascii="宋体" w:hAnsi="宋体" w:cs="宋体"/>
                <w:sz w:val="24"/>
                <w:highlight w:val="none"/>
              </w:rPr>
            </w:r>
            <w:r/>
          </w:p>
        </w:tc>
        <w:tc>
          <w:tcPr>
            <w:tcW w:w="7253" w:type="dxa"/>
            <w:vAlign w:val="center"/>
            <w:textDirection w:val="lrTb"/>
            <w:noWrap w:val="false"/>
          </w:tcPr>
          <w:p>
            <w:pPr>
              <w:pStyle w:val="777"/>
              <w:jc w:val="left"/>
              <w:rPr>
                <w:rFonts w:hint="eastAsia" w:ascii="宋体" w:hAnsi="宋体" w:cs="宋体"/>
                <w:sz w:val="24"/>
                <w:highlight w:val="none"/>
              </w:rPr>
            </w:pPr>
            <w:r>
              <w:rPr>
                <w:rFonts w:hint="eastAsia" w:ascii="宋体" w:hAnsi="宋体" w:cs="宋体"/>
                <w:sz w:val="24"/>
                <w:highlight w:val="none"/>
              </w:rPr>
              <w:t xml:space="preserve">本项目是否允许分包： </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不允许</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允许，具体要求：</w:t>
            </w:r>
            <w:r>
              <w:rPr>
                <w:rFonts w:hint="eastAsia" w:ascii="宋体" w:hAnsi="宋体" w:cs="宋体"/>
                <w:sz w:val="24"/>
                <w:highlight w:val="none"/>
                <w:u w:val="single"/>
              </w:rPr>
              <w:t xml:space="preserve">不在《资质认定计量认证证书》和认定的环境类监测项目数的计量认证附表以外的项目，投标供应商可以分包（中标费率仍按投标费率，不调整），但只限计量认证附表以外的项目，严禁投标供应商把属于自己计量认证附表以内的项目转包、转让、挂靠，一旦发现中标单位存在转包、转让、挂靠等行为的，将依法进行处理，给采购人造成损失的依法承担赔偿责任。同时以后不得参加采购人的所有项目投标</w:t>
            </w:r>
            <w:r>
              <w:rPr>
                <w:rFonts w:hint="eastAsia" w:ascii="宋体" w:hAnsi="宋体" w:cs="宋体"/>
                <w:sz w:val="24"/>
                <w:highlight w:val="none"/>
              </w:rPr>
              <w:t xml:space="preserve">。</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777"/>
              <w:jc w:val="left"/>
              <w:rPr>
                <w:rFonts w:hint="eastAsia"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u w:val="single"/>
              </w:rPr>
            </w:r>
            <w:r/>
          </w:p>
        </w:tc>
      </w:tr>
      <w:tr>
        <w:trPr>
          <w:trHeight w:val="20"/>
        </w:trPr>
        <w:tc>
          <w:tcPr>
            <w:tcW w:w="988" w:type="dxa"/>
            <w:vAlign w:val="center"/>
            <w:textDirection w:val="lrTb"/>
            <w:noWrap w:val="false"/>
          </w:tcPr>
          <w:p>
            <w:pPr>
              <w:pStyle w:val="816"/>
              <w:jc w:val="center"/>
              <w:rPr>
                <w:rFonts w:hAnsi="宋体" w:cs="宋体"/>
                <w:sz w:val="24"/>
                <w:szCs w:val="24"/>
                <w:highlight w:val="none"/>
              </w:rPr>
            </w:pPr>
            <w:r>
              <w:rPr>
                <w:rFonts w:hAnsi="宋体" w:cs="宋体"/>
                <w:sz w:val="24"/>
                <w:szCs w:val="24"/>
                <w:highlight w:val="none"/>
              </w:rPr>
              <w:t xml:space="preserve">24.1.1</w:t>
            </w:r>
            <w:r>
              <w:rPr>
                <w:rFonts w:hAnsi="宋体" w:cs="宋体"/>
                <w:sz w:val="24"/>
                <w:szCs w:val="24"/>
                <w:highlight w:val="none"/>
              </w:rPr>
            </w:r>
            <w:r/>
          </w:p>
        </w:tc>
        <w:tc>
          <w:tcPr>
            <w:tcW w:w="1701"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sz w:val="24"/>
                <w:highlight w:val="none"/>
              </w:rPr>
              <w:t xml:space="preserve">询问</w:t>
            </w:r>
            <w:r>
              <w:rPr>
                <w:rFonts w:hint="eastAsia" w:ascii="宋体" w:hAnsi="宋体" w:cs="宋体"/>
                <w:sz w:val="24"/>
                <w:highlight w:val="none"/>
              </w:rPr>
            </w:r>
            <w:r/>
          </w:p>
        </w:tc>
        <w:tc>
          <w:tcPr>
            <w:tcW w:w="7253" w:type="dxa"/>
            <w:vAlign w:val="center"/>
            <w:textDirection w:val="lrTb"/>
            <w:noWrap w:val="false"/>
          </w:tcPr>
          <w:p>
            <w:pPr>
              <w:pStyle w:val="777"/>
              <w:jc w:val="left"/>
              <w:rPr>
                <w:rFonts w:hint="eastAsia" w:ascii="宋体" w:hAnsi="宋体" w:cs="宋体"/>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 于</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23</w:t>
            </w:r>
            <w:r>
              <w:rPr>
                <w:rFonts w:hint="eastAsia" w:ascii="宋体" w:hAnsi="宋体" w:cs="宋体"/>
                <w:sz w:val="24"/>
                <w:highlight w:val="none"/>
                <w:u w:val="single"/>
              </w:rPr>
              <w:t xml:space="preserve">日</w:t>
            </w:r>
            <w:r>
              <w:rPr>
                <w:rFonts w:hint="eastAsia" w:ascii="宋体" w:hAnsi="宋体" w:cs="宋体"/>
                <w:sz w:val="24"/>
                <w:highlight w:val="none"/>
                <w:u w:val="single"/>
              </w:rPr>
              <w:t xml:space="preserve">11：00（北京时间）前以书面形式递交至</w:t>
            </w:r>
            <w:r>
              <w:rPr>
                <w:rFonts w:hint="eastAsia" w:ascii="宋体" w:hAnsi="宋体" w:cs="宋体"/>
                <w:sz w:val="24"/>
                <w:highlight w:val="none"/>
                <w:u w:val="single"/>
                <w:lang w:eastAsia="zh-CN"/>
              </w:rPr>
              <w:t xml:space="preserve">常州承宇工程顾问有限公司</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tc>
      </w:tr>
      <w:tr>
        <w:trPr>
          <w:trHeight w:val="20"/>
        </w:trPr>
        <w:tc>
          <w:tcPr>
            <w:tcW w:w="988" w:type="dxa"/>
            <w:vAlign w:val="center"/>
            <w:textDirection w:val="lrTb"/>
            <w:noWrap w:val="false"/>
          </w:tcPr>
          <w:p>
            <w:pPr>
              <w:pStyle w:val="816"/>
              <w:jc w:val="center"/>
              <w:rPr>
                <w:rFonts w:hAnsi="宋体" w:cs="宋体"/>
                <w:sz w:val="24"/>
                <w:szCs w:val="24"/>
                <w:highlight w:val="none"/>
              </w:rPr>
            </w:pPr>
            <w:r>
              <w:rPr>
                <w:rFonts w:hAnsi="宋体" w:cs="宋体"/>
                <w:sz w:val="24"/>
                <w:szCs w:val="24"/>
                <w:highlight w:val="none"/>
              </w:rPr>
              <w:t xml:space="preserve">24.3</w:t>
            </w:r>
            <w:r>
              <w:rPr>
                <w:rFonts w:hAnsi="宋体" w:cs="宋体"/>
                <w:sz w:val="24"/>
                <w:szCs w:val="24"/>
                <w:highlight w:val="none"/>
              </w:rPr>
            </w:r>
            <w:r/>
          </w:p>
        </w:tc>
        <w:tc>
          <w:tcPr>
            <w:tcW w:w="1701"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rPr>
            </w:r>
            <w:r/>
          </w:p>
        </w:tc>
        <w:tc>
          <w:tcPr>
            <w:tcW w:w="7253" w:type="dxa"/>
            <w:vAlign w:val="center"/>
            <w:textDirection w:val="lrTb"/>
            <w:noWrap w:val="false"/>
          </w:tcPr>
          <w:p>
            <w:pPr>
              <w:pStyle w:val="777"/>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龚先生</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0519-81009985  </w:t>
            </w:r>
            <w:r>
              <w:rPr>
                <w:rFonts w:hint="eastAsia" w:ascii="宋体" w:hAnsi="宋体" w:cs="宋体"/>
                <w:sz w:val="24"/>
                <w:highlight w:val="none"/>
              </w:rPr>
              <w:t xml:space="preserve">；</w:t>
            </w:r>
            <w:r>
              <w:rPr>
                <w:rFonts w:hint="eastAsia" w:ascii="宋体" w:hAnsi="宋体" w:cs="宋体"/>
                <w:sz w:val="24"/>
                <w:highlight w:val="none"/>
              </w:rPr>
            </w:r>
            <w:r/>
          </w:p>
          <w:p>
            <w:pPr>
              <w:pStyle w:val="777"/>
              <w:jc w:val="left"/>
              <w:rPr>
                <w:rFonts w:hint="eastAsia" w:ascii="宋体" w:hAnsi="宋体" w:eastAsia="宋体" w:cs="宋体"/>
                <w:sz w:val="24"/>
                <w:highlight w:val="none"/>
                <w:lang w:eastAsia="zh-CN"/>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  常州市新北区太湖中路18号5楼  </w:t>
            </w:r>
            <w:r>
              <w:rPr>
                <w:rFonts w:hint="eastAsia" w:ascii="宋体" w:hAnsi="宋体" w:cs="宋体"/>
                <w:sz w:val="24"/>
                <w:highlight w:val="none"/>
                <w:u w:val="none"/>
                <w:lang w:eastAsia="zh-CN"/>
              </w:rPr>
              <w:t xml:space="preserve">。</w:t>
            </w:r>
            <w:r>
              <w:rPr>
                <w:rFonts w:hint="eastAsia" w:ascii="宋体" w:hAnsi="宋体" w:eastAsia="宋体" w:cs="宋体"/>
                <w:sz w:val="24"/>
                <w:highlight w:val="none"/>
                <w:lang w:eastAsia="zh-CN"/>
              </w:rPr>
            </w:r>
            <w:r/>
          </w:p>
        </w:tc>
      </w:tr>
      <w:tr>
        <w:trPr>
          <w:trHeight w:val="20"/>
        </w:trPr>
        <w:tc>
          <w:tcPr>
            <w:tcW w:w="988" w:type="dxa"/>
            <w:vAlign w:val="center"/>
            <w:textDirection w:val="lrTb"/>
            <w:noWrap w:val="false"/>
          </w:tcPr>
          <w:p>
            <w:pPr>
              <w:pStyle w:val="816"/>
              <w:jc w:val="center"/>
              <w:rPr>
                <w:rFonts w:hAnsi="宋体" w:cs="宋体"/>
                <w:sz w:val="24"/>
                <w:szCs w:val="24"/>
                <w:highlight w:val="none"/>
              </w:rPr>
            </w:pPr>
            <w:r>
              <w:rPr>
                <w:rFonts w:hAnsi="宋体" w:cs="宋体"/>
                <w:sz w:val="24"/>
                <w:szCs w:val="24"/>
                <w:highlight w:val="none"/>
              </w:rPr>
              <w:t xml:space="preserve">25</w:t>
            </w:r>
            <w:r>
              <w:rPr>
                <w:rFonts w:hAnsi="宋体" w:cs="宋体"/>
                <w:sz w:val="24"/>
                <w:szCs w:val="24"/>
                <w:highlight w:val="none"/>
              </w:rPr>
            </w:r>
            <w:r/>
          </w:p>
        </w:tc>
        <w:tc>
          <w:tcPr>
            <w:tcW w:w="1701" w:type="dxa"/>
            <w:vAlign w:val="center"/>
            <w:textDirection w:val="lrTb"/>
            <w:noWrap w:val="false"/>
          </w:tcPr>
          <w:p>
            <w:pPr>
              <w:pStyle w:val="777"/>
              <w:jc w:val="center"/>
              <w:rPr>
                <w:rFonts w:hint="eastAsia" w:ascii="宋体" w:hAnsi="宋体" w:cs="宋体"/>
                <w:sz w:val="24"/>
                <w:highlight w:val="none"/>
              </w:rPr>
            </w:pPr>
            <w:r>
              <w:rPr>
                <w:rFonts w:hint="eastAsia" w:ascii="宋体" w:hAnsi="宋体" w:cs="宋体"/>
                <w:sz w:val="24"/>
                <w:highlight w:val="none"/>
              </w:rPr>
              <w:t xml:space="preserve">代理费</w:t>
            </w:r>
            <w:r>
              <w:rPr>
                <w:rFonts w:hint="eastAsia" w:ascii="宋体" w:hAnsi="宋体" w:cs="宋体"/>
                <w:sz w:val="24"/>
                <w:highlight w:val="none"/>
              </w:rPr>
            </w:r>
            <w:r/>
          </w:p>
        </w:tc>
        <w:tc>
          <w:tcPr>
            <w:tcW w:w="7253" w:type="dxa"/>
            <w:vAlign w:val="center"/>
            <w:textDirection w:val="lrTb"/>
            <w:noWrap w:val="false"/>
          </w:tcPr>
          <w:p>
            <w:pPr>
              <w:pStyle w:val="777"/>
              <w:jc w:val="left"/>
              <w:rPr>
                <w:rFonts w:hint="eastAsia" w:ascii="宋体" w:hAnsi="宋体" w:cs="宋体"/>
                <w:sz w:val="24"/>
                <w:highlight w:val="none"/>
              </w:rPr>
            </w:pPr>
            <w:r>
              <w:rPr>
                <w:rFonts w:hint="eastAsia" w:ascii="宋体" w:hAnsi="宋体" w:cs="宋体"/>
                <w:sz w:val="24"/>
                <w:highlight w:val="none"/>
              </w:rPr>
              <w:t xml:space="preserve">收费对象：</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□采购人</w:t>
            </w:r>
            <w:r>
              <w:rPr>
                <w:rFonts w:hint="eastAsia" w:ascii="宋体" w:hAnsi="宋体" w:cs="宋体"/>
                <w:sz w:val="24"/>
                <w:highlight w:val="none"/>
              </w:rPr>
            </w:r>
            <w:r/>
          </w:p>
          <w:p>
            <w:pPr>
              <w:pStyle w:val="777"/>
              <w:jc w:val="left"/>
              <w:rPr>
                <w:rFonts w:hint="eastAsia" w:ascii="宋体" w:hAnsi="宋体" w:cs="宋体"/>
                <w:sz w:val="24"/>
                <w:highlight w:val="none"/>
              </w:rPr>
            </w:pPr>
            <w:r>
              <w:rPr>
                <w:rFonts w:hint="eastAsia" w:ascii="宋体" w:hAnsi="宋体" w:cs="宋体"/>
                <w:sz w:val="24"/>
                <w:highlight w:val="none"/>
              </w:rPr>
              <w:t xml:space="preserve">■成交供应商</w:t>
            </w:r>
            <w:r>
              <w:rPr>
                <w:rFonts w:hint="eastAsia" w:ascii="宋体" w:hAnsi="宋体" w:cs="宋体"/>
                <w:sz w:val="24"/>
                <w:highlight w:val="none"/>
              </w:rPr>
            </w:r>
            <w:r/>
          </w:p>
          <w:p>
            <w:pPr>
              <w:pStyle w:val="777"/>
              <w:ind w:firstLine="480"/>
              <w:jc w:val="left"/>
              <w:rPr>
                <w:rFonts w:hint="eastAsia" w:ascii="宋体" w:hAnsi="宋体" w:cs="宋体"/>
                <w:sz w:val="24"/>
                <w:highlight w:val="none"/>
              </w:rPr>
            </w:pPr>
            <w:r>
              <w:rPr>
                <w:rFonts w:hint="eastAsia" w:ascii="宋体" w:hAnsi="宋体" w:cs="宋体"/>
                <w:sz w:val="24"/>
                <w:highlight w:val="none"/>
              </w:rPr>
              <w:t xml:space="preserve">收费标准：</w:t>
            </w:r>
            <w:r>
              <w:rPr>
                <w:rFonts w:hint="eastAsia" w:ascii="宋体" w:hAnsi="宋体" w:cs="宋体"/>
                <w:sz w:val="24"/>
                <w:highlight w:val="none"/>
              </w:rPr>
            </w:r>
            <w:r/>
          </w:p>
          <w:tbl>
            <w:tblPr>
              <w:tblW w:w="5430" w:type="dxa"/>
              <w:tblInd w:w="6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777"/>
                    <w:ind w:firstLine="945"/>
                    <w:spacing w:line="440" w:lineRule="exact"/>
                    <w:rPr>
                      <w:rFonts w:hint="eastAsia" w:ascii="宋体" w:hAnsi="宋体" w:cs="宋体"/>
                      <w:bCs/>
                      <w:sz w:val="24"/>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342900</wp:posOffset>
                            </wp:positionH>
                            <wp:positionV relativeFrom="paragraph">
                              <wp:posOffset>-4444</wp:posOffset>
                            </wp:positionV>
                            <wp:extent cx="1506855" cy="1675130"/>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flip:xy;visibility:visible;" from="27.0pt,-0.3pt" to="145.6pt,131.6pt" fillcolor="#FFFFFF" strokecolor="#000000"/>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-112394</wp:posOffset>
                            </wp:positionH>
                            <wp:positionV relativeFrom="paragraph">
                              <wp:posOffset>-4444</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1;mso-wrap-distance-left:9.0pt;mso-wrap-distance-top:0.0pt;mso-wrap-distance-right:9.0pt;mso-wrap-distance-bottom:0.0pt;visibility:visible;" from="-8.8pt,-0.3pt" to="-8.8pt,-0.3pt" fillcolor="#FFFFFF" strokecolor="#000000"/>
                        </w:pict>
                      </mc:Fallback>
                    </mc:AlternateContent>
                  </w:r>
                  <w:r>
                    <w:rPr>
                      <w:rFonts w:hint="eastAsia" w:ascii="宋体" w:hAnsi="宋体" w:cs="宋体"/>
                      <w:bCs/>
                      <w:sz w:val="24"/>
                      <w:highlight w:val="none"/>
                    </w:rPr>
                    <w:t xml:space="preserve">服</w:t>
                  </w:r>
                  <w:r>
                    <w:rPr>
                      <w:rFonts w:hint="eastAsia" w:ascii="宋体" w:hAnsi="宋体" w:cs="宋体"/>
                      <w:bCs/>
                      <w:sz w:val="24"/>
                      <w:highlight w:val="none"/>
                    </w:rPr>
                  </w:r>
                  <w:r/>
                </w:p>
                <w:p>
                  <w:pPr>
                    <w:pStyle w:val="777"/>
                    <w:ind w:firstLine="240"/>
                    <w:spacing w:line="440" w:lineRule="exact"/>
                    <w:rPr>
                      <w:rFonts w:hint="eastAsia" w:ascii="宋体" w:hAnsi="宋体" w:cs="宋体"/>
                      <w:bCs/>
                      <w:sz w:val="24"/>
                      <w:highlight w:val="none"/>
                    </w:rPr>
                  </w:pPr>
                  <w:r>
                    <w:rPr>
                      <w:rFonts w:hint="eastAsia" w:ascii="宋体" w:hAnsi="宋体" w:cs="宋体"/>
                      <w:bCs/>
                      <w:sz w:val="24"/>
                      <w:highlight w:val="none"/>
                    </w:rPr>
                    <w:t xml:space="preserve">费　　　   务</w:t>
                  </w:r>
                  <w:r>
                    <w:rPr>
                      <w:rFonts w:hint="eastAsia" w:ascii="宋体" w:hAnsi="宋体" w:cs="宋体"/>
                      <w:bCs/>
                      <w:sz w:val="24"/>
                      <w:highlight w:val="none"/>
                    </w:rPr>
                  </w:r>
                  <w:r/>
                </w:p>
                <w:p>
                  <w:pPr>
                    <w:pStyle w:val="777"/>
                    <w:ind w:firstLine="1260"/>
                    <w:spacing w:line="440" w:lineRule="exact"/>
                    <w:rPr>
                      <w:rFonts w:hint="eastAsia" w:ascii="宋体" w:hAnsi="宋体" w:cs="宋体"/>
                      <w:bCs/>
                      <w:sz w:val="24"/>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-82549</wp:posOffset>
                            </wp:positionH>
                            <wp:positionV relativeFrom="paragraph">
                              <wp:posOffset>90805</wp:posOffset>
                            </wp:positionV>
                            <wp:extent cx="1932940" cy="102044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highlight w:val="none"/>
                    </w:rPr>
                    <w:t xml:space="preserve">　   类</w:t>
                  </w:r>
                  <w:r>
                    <w:rPr>
                      <w:rFonts w:hint="eastAsia" w:ascii="宋体" w:hAnsi="宋体" w:cs="宋体"/>
                      <w:bCs/>
                      <w:sz w:val="24"/>
                      <w:highlight w:val="none"/>
                    </w:rPr>
                  </w:r>
                  <w:r/>
                </w:p>
                <w:p>
                  <w:pPr>
                    <w:pStyle w:val="777"/>
                    <w:ind w:firstLine="1200"/>
                    <w:spacing w:line="440" w:lineRule="exact"/>
                    <w:rPr>
                      <w:rFonts w:hint="eastAsia" w:ascii="宋体" w:hAnsi="宋体" w:cs="宋体"/>
                      <w:bCs/>
                      <w:sz w:val="24"/>
                      <w:highlight w:val="none"/>
                    </w:rPr>
                  </w:pPr>
                  <w:r>
                    <w:rPr>
                      <w:rFonts w:hint="eastAsia" w:ascii="宋体" w:hAnsi="宋体" w:cs="宋体"/>
                      <w:bCs/>
                      <w:sz w:val="24"/>
                      <w:highlight w:val="none"/>
                    </w:rPr>
                    <w:t xml:space="preserve">率　       型</w:t>
                  </w:r>
                  <w:r>
                    <w:rPr>
                      <w:rFonts w:hint="eastAsia" w:ascii="宋体" w:hAnsi="宋体" w:cs="宋体"/>
                      <w:bCs/>
                      <w:sz w:val="24"/>
                      <w:highlight w:val="none"/>
                    </w:rPr>
                  </w:r>
                  <w:r/>
                </w:p>
                <w:p>
                  <w:pPr>
                    <w:pStyle w:val="777"/>
                    <w:ind w:firstLine="1200"/>
                    <w:spacing w:line="440" w:lineRule="exact"/>
                    <w:rPr>
                      <w:rFonts w:hint="eastAsia"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rPr>
                  </w:r>
                  <w:r/>
                </w:p>
                <w:p>
                  <w:pPr>
                    <w:pStyle w:val="777"/>
                    <w:spacing w:line="440" w:lineRule="exact"/>
                    <w:rPr>
                      <w:rFonts w:hint="eastAsia" w:ascii="宋体" w:hAnsi="宋体" w:cs="宋体"/>
                      <w:bCs/>
                      <w:sz w:val="24"/>
                      <w:highlight w:val="none"/>
                    </w:rPr>
                  </w:pPr>
                  <w:r>
                    <w:rPr>
                      <w:rFonts w:hint="eastAsia" w:ascii="宋体" w:hAnsi="宋体" w:cs="宋体"/>
                      <w:bCs/>
                      <w:sz w:val="24"/>
                      <w:highlight w:val="none"/>
                    </w:rPr>
                    <w:t xml:space="preserve">成交金额（万元）</w:t>
                  </w:r>
                  <w:r>
                    <w:rPr>
                      <w:rFonts w:hint="eastAsia" w:ascii="宋体" w:hAnsi="宋体" w:cs="宋体"/>
                      <w:bCs/>
                      <w:sz w:val="24"/>
                      <w:highlight w:val="none"/>
                    </w:rPr>
                  </w:r>
                  <w:r/>
                </w:p>
              </w:tc>
              <w:tc>
                <w:tcPr>
                  <w:tcW w:w="2407" w:type="dxa"/>
                  <w:vAlign w:val="center"/>
                  <w:textDirection w:val="lrTb"/>
                  <w:noWrap w:val="false"/>
                </w:tcPr>
                <w:p>
                  <w:pPr>
                    <w:pStyle w:val="777"/>
                    <w:jc w:val="center"/>
                    <w:spacing w:line="440" w:lineRule="exact"/>
                    <w:rPr>
                      <w:rFonts w:hint="eastAsia" w:ascii="宋体" w:hAnsi="宋体" w:cs="宋体"/>
                      <w:bCs/>
                      <w:sz w:val="24"/>
                      <w:highlight w:val="none"/>
                    </w:rPr>
                  </w:pPr>
                  <w:r>
                    <w:rPr>
                      <w:rFonts w:hint="eastAsia" w:ascii="宋体" w:hAnsi="宋体" w:cs="宋体"/>
                      <w:bCs/>
                      <w:sz w:val="24"/>
                      <w:highlight w:val="none"/>
                    </w:rPr>
                    <w:t xml:space="preserve">服务类</w:t>
                  </w:r>
                  <w:r>
                    <w:rPr>
                      <w:rFonts w:hint="eastAsia" w:ascii="宋体" w:hAnsi="宋体" w:cs="宋体"/>
                      <w:bCs/>
                      <w:sz w:val="24"/>
                      <w:highlight w:val="none"/>
                    </w:rPr>
                  </w:r>
                  <w:r/>
                </w:p>
              </w:tc>
            </w:tr>
            <w:tr>
              <w:trPr>
                <w:trHeight w:val="454"/>
              </w:trPr>
              <w:tc>
                <w:tcPr>
                  <w:tcW w:w="3023" w:type="dxa"/>
                  <w:vAlign w:val="center"/>
                  <w:textDirection w:val="lrTb"/>
                  <w:noWrap w:val="false"/>
                </w:tcPr>
                <w:p>
                  <w:pPr>
                    <w:pStyle w:val="777"/>
                    <w:jc w:val="center"/>
                    <w:spacing w:line="280" w:lineRule="exact"/>
                    <w:rPr>
                      <w:rFonts w:hint="eastAsia" w:ascii="宋体" w:hAnsi="宋体" w:cs="宋体"/>
                      <w:sz w:val="24"/>
                      <w:highlight w:val="none"/>
                    </w:rPr>
                  </w:pPr>
                  <w:r>
                    <w:rPr>
                      <w:rFonts w:hint="eastAsia" w:ascii="宋体" w:hAnsi="宋体" w:cs="宋体"/>
                      <w:sz w:val="24"/>
                      <w:highlight w:val="none"/>
                    </w:rPr>
                    <w:t xml:space="preserve">100（含，下同）以下</w:t>
                  </w:r>
                  <w:r>
                    <w:rPr>
                      <w:rFonts w:hint="eastAsia" w:ascii="宋体" w:hAnsi="宋体" w:cs="宋体"/>
                      <w:sz w:val="24"/>
                      <w:highlight w:val="none"/>
                    </w:rPr>
                  </w:r>
                  <w:r/>
                </w:p>
              </w:tc>
              <w:tc>
                <w:tcPr>
                  <w:tcW w:w="2407" w:type="dxa"/>
                  <w:vAlign w:val="center"/>
                  <w:textDirection w:val="lrTb"/>
                  <w:noWrap w:val="false"/>
                </w:tcPr>
                <w:p>
                  <w:pPr>
                    <w:pStyle w:val="777"/>
                    <w:jc w:val="center"/>
                    <w:spacing w:line="280" w:lineRule="exact"/>
                    <w:rPr>
                      <w:rFonts w:hint="eastAsia" w:ascii="宋体" w:hAnsi="宋体" w:cs="宋体"/>
                      <w:sz w:val="24"/>
                      <w:highlight w:val="none"/>
                    </w:rPr>
                  </w:pPr>
                  <w:r>
                    <w:rPr>
                      <w:rFonts w:hint="eastAsia" w:ascii="宋体" w:hAnsi="宋体" w:cs="宋体"/>
                      <w:sz w:val="24"/>
                      <w:highlight w:val="none"/>
                    </w:rPr>
                    <w:t xml:space="preserve">1.5%</w:t>
                  </w:r>
                  <w:r>
                    <w:rPr>
                      <w:rFonts w:hint="eastAsia" w:ascii="宋体" w:hAnsi="宋体" w:cs="宋体"/>
                      <w:sz w:val="24"/>
                      <w:highlight w:val="none"/>
                    </w:rPr>
                  </w:r>
                  <w:r/>
                </w:p>
              </w:tc>
            </w:tr>
            <w:tr>
              <w:trPr>
                <w:trHeight w:val="454"/>
              </w:trPr>
              <w:tc>
                <w:tcPr>
                  <w:tcW w:w="3023" w:type="dxa"/>
                  <w:vAlign w:val="center"/>
                  <w:textDirection w:val="lrTb"/>
                  <w:noWrap w:val="false"/>
                </w:tcPr>
                <w:p>
                  <w:pPr>
                    <w:pStyle w:val="777"/>
                    <w:jc w:val="center"/>
                    <w:spacing w:line="280" w:lineRule="exact"/>
                    <w:rPr>
                      <w:rFonts w:hint="eastAsia" w:ascii="宋体" w:hAnsi="宋体" w:cs="宋体"/>
                      <w:sz w:val="24"/>
                      <w:highlight w:val="none"/>
                    </w:rPr>
                  </w:pPr>
                  <w:r>
                    <w:rPr>
                      <w:rFonts w:hint="eastAsia" w:ascii="宋体" w:hAnsi="宋体" w:cs="宋体"/>
                      <w:sz w:val="24"/>
                      <w:highlight w:val="none"/>
                    </w:rPr>
                    <w:t xml:space="preserve">100-500</w:t>
                  </w:r>
                  <w:r>
                    <w:rPr>
                      <w:rFonts w:hint="eastAsia" w:ascii="宋体" w:hAnsi="宋体" w:cs="宋体"/>
                      <w:sz w:val="24"/>
                      <w:highlight w:val="none"/>
                    </w:rPr>
                  </w:r>
                  <w:r/>
                </w:p>
              </w:tc>
              <w:tc>
                <w:tcPr>
                  <w:tcW w:w="2407" w:type="dxa"/>
                  <w:vAlign w:val="center"/>
                  <w:textDirection w:val="lrTb"/>
                  <w:noWrap w:val="false"/>
                </w:tcPr>
                <w:p>
                  <w:pPr>
                    <w:pStyle w:val="777"/>
                    <w:jc w:val="center"/>
                    <w:spacing w:line="280" w:lineRule="exact"/>
                    <w:rPr>
                      <w:rFonts w:hint="eastAsia" w:ascii="宋体" w:hAnsi="宋体" w:cs="宋体"/>
                      <w:sz w:val="24"/>
                      <w:highlight w:val="none"/>
                    </w:rPr>
                  </w:pPr>
                  <w:r>
                    <w:rPr>
                      <w:rFonts w:hint="eastAsia" w:ascii="宋体" w:hAnsi="宋体" w:cs="宋体"/>
                      <w:sz w:val="24"/>
                      <w:highlight w:val="none"/>
                    </w:rPr>
                    <w:t xml:space="preserve">0.8%</w:t>
                  </w:r>
                  <w:r>
                    <w:rPr>
                      <w:rFonts w:hint="eastAsia" w:ascii="宋体" w:hAnsi="宋体" w:cs="宋体"/>
                      <w:sz w:val="24"/>
                      <w:highlight w:val="none"/>
                    </w:rPr>
                  </w:r>
                  <w:r/>
                </w:p>
              </w:tc>
            </w:tr>
            <w:tr>
              <w:trPr>
                <w:trHeight w:val="454"/>
              </w:trPr>
              <w:tc>
                <w:tcPr>
                  <w:tcW w:w="3023" w:type="dxa"/>
                  <w:vAlign w:val="center"/>
                  <w:textDirection w:val="lrTb"/>
                  <w:noWrap w:val="false"/>
                </w:tcPr>
                <w:p>
                  <w:pPr>
                    <w:pStyle w:val="777"/>
                    <w:jc w:val="center"/>
                    <w:spacing w:line="280" w:lineRule="exact"/>
                    <w:rPr>
                      <w:rFonts w:hint="eastAsia" w:ascii="宋体" w:hAnsi="宋体" w:cs="宋体"/>
                      <w:sz w:val="24"/>
                      <w:highlight w:val="none"/>
                    </w:rPr>
                  </w:pPr>
                  <w:r>
                    <w:rPr>
                      <w:rFonts w:hint="eastAsia" w:ascii="宋体" w:hAnsi="宋体" w:cs="宋体"/>
                      <w:sz w:val="24"/>
                      <w:highlight w:val="none"/>
                    </w:rPr>
                    <w:t xml:space="preserve">500—1000</w:t>
                  </w:r>
                  <w:r>
                    <w:rPr>
                      <w:rFonts w:hint="eastAsia" w:ascii="宋体" w:hAnsi="宋体" w:cs="宋体"/>
                      <w:sz w:val="24"/>
                      <w:highlight w:val="none"/>
                    </w:rPr>
                  </w:r>
                  <w:r/>
                </w:p>
              </w:tc>
              <w:tc>
                <w:tcPr>
                  <w:tcW w:w="2407" w:type="dxa"/>
                  <w:vAlign w:val="center"/>
                  <w:textDirection w:val="lrTb"/>
                  <w:noWrap w:val="false"/>
                </w:tcPr>
                <w:p>
                  <w:pPr>
                    <w:pStyle w:val="777"/>
                    <w:jc w:val="center"/>
                    <w:spacing w:line="280" w:lineRule="exact"/>
                    <w:rPr>
                      <w:rFonts w:hint="eastAsia" w:ascii="宋体" w:hAnsi="宋体" w:cs="宋体"/>
                      <w:sz w:val="24"/>
                      <w:highlight w:val="none"/>
                    </w:rPr>
                  </w:pPr>
                  <w:r>
                    <w:rPr>
                      <w:rFonts w:hint="eastAsia" w:ascii="宋体" w:hAnsi="宋体" w:cs="宋体"/>
                      <w:sz w:val="24"/>
                      <w:highlight w:val="none"/>
                    </w:rPr>
                    <w:t xml:space="preserve">0.45%</w:t>
                  </w:r>
                  <w:r>
                    <w:rPr>
                      <w:rFonts w:hint="eastAsia" w:ascii="宋体" w:hAnsi="宋体" w:cs="宋体"/>
                      <w:sz w:val="24"/>
                      <w:highlight w:val="none"/>
                    </w:rPr>
                  </w:r>
                  <w:r/>
                </w:p>
              </w:tc>
            </w:tr>
            <w:tr>
              <w:trPr>
                <w:trHeight w:val="454"/>
              </w:trPr>
              <w:tc>
                <w:tcPr>
                  <w:tcW w:w="3023" w:type="dxa"/>
                  <w:vAlign w:val="center"/>
                  <w:textDirection w:val="lrTb"/>
                  <w:noWrap w:val="false"/>
                </w:tcPr>
                <w:p>
                  <w:pPr>
                    <w:pStyle w:val="777"/>
                    <w:jc w:val="center"/>
                    <w:spacing w:line="28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1000-5000</w:t>
                  </w:r>
                  <w:r>
                    <w:rPr>
                      <w:rFonts w:ascii="宋体" w:hAnsi="宋体" w:eastAsia="宋体" w:cs="宋体"/>
                      <w:sz w:val="24"/>
                      <w:highlight w:val="none"/>
                      <w:lang w:val="en-US" w:eastAsia="zh-CN"/>
                    </w:rPr>
                  </w:r>
                  <w:r/>
                </w:p>
              </w:tc>
              <w:tc>
                <w:tcPr>
                  <w:tcW w:w="2407" w:type="dxa"/>
                  <w:vAlign w:val="center"/>
                  <w:textDirection w:val="lrTb"/>
                  <w:noWrap w:val="false"/>
                </w:tcPr>
                <w:p>
                  <w:pPr>
                    <w:pStyle w:val="777"/>
                    <w:jc w:val="center"/>
                    <w:spacing w:line="28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0.25%</w:t>
                  </w:r>
                  <w:r>
                    <w:rPr>
                      <w:rFonts w:ascii="宋体" w:hAnsi="宋体" w:eastAsia="宋体" w:cs="宋体"/>
                      <w:sz w:val="24"/>
                      <w:highlight w:val="none"/>
                      <w:lang w:val="en-US" w:eastAsia="zh-CN"/>
                    </w:rPr>
                  </w:r>
                  <w:r/>
                </w:p>
              </w:tc>
            </w:tr>
            <w:tr>
              <w:trPr>
                <w:trHeight w:val="454"/>
              </w:trPr>
              <w:tc>
                <w:tcPr>
                  <w:tcW w:w="3023" w:type="dxa"/>
                  <w:vAlign w:val="center"/>
                  <w:textDirection w:val="lrTb"/>
                  <w:noWrap w:val="false"/>
                </w:tcPr>
                <w:p>
                  <w:pPr>
                    <w:pStyle w:val="777"/>
                    <w:jc w:val="center"/>
                    <w:spacing w:line="44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2407" w:type="dxa"/>
                  <w:vAlign w:val="center"/>
                  <w:textDirection w:val="lrTb"/>
                  <w:noWrap w:val="false"/>
                </w:tcPr>
                <w:p>
                  <w:pPr>
                    <w:pStyle w:val="777"/>
                    <w:jc w:val="center"/>
                    <w:spacing w:line="44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r>
          </w:tbl>
          <w:p>
            <w:pPr>
              <w:pStyle w:val="777"/>
              <w:ind w:firstLine="480"/>
              <w:jc w:val="left"/>
              <w:rPr>
                <w:rFonts w:hint="eastAsia" w:ascii="宋体" w:hAnsi="宋体" w:cs="宋体"/>
                <w:sz w:val="24"/>
                <w:highlight w:val="none"/>
              </w:rPr>
            </w:pPr>
            <w:r>
              <w:rPr>
                <w:rFonts w:hint="eastAsia" w:ascii="宋体" w:hAnsi="宋体" w:cs="宋体"/>
                <w:sz w:val="24"/>
                <w:highlight w:val="none"/>
              </w:rPr>
            </w:r>
            <w:r/>
          </w:p>
          <w:p>
            <w:pPr>
              <w:pStyle w:val="777"/>
              <w:ind w:firstLine="480"/>
              <w:jc w:val="left"/>
              <w:rPr>
                <w:rFonts w:hint="eastAsia" w:ascii="宋体" w:hAnsi="宋体" w:cs="宋体"/>
                <w:sz w:val="24"/>
                <w:highlight w:val="none"/>
              </w:rPr>
            </w:pPr>
            <w:r>
              <w:rPr>
                <w:rFonts w:hint="eastAsia" w:ascii="宋体" w:hAnsi="宋体" w:cs="宋体"/>
                <w:sz w:val="24"/>
                <w:highlight w:val="none"/>
              </w:rPr>
              <w:t xml:space="preserve">代理费按差额定率累进法计算。 </w:t>
            </w:r>
            <w:r>
              <w:rPr>
                <w:rFonts w:hint="eastAsia" w:ascii="宋体" w:hAnsi="宋体" w:cs="宋体"/>
                <w:sz w:val="24"/>
                <w:highlight w:val="none"/>
              </w:rPr>
            </w:r>
            <w:r/>
          </w:p>
          <w:p>
            <w:pPr>
              <w:pStyle w:val="777"/>
              <w:ind w:firstLine="480"/>
              <w:jc w:val="left"/>
              <w:rPr>
                <w:rFonts w:hint="eastAsia" w:ascii="宋体" w:hAnsi="宋体" w:cs="宋体"/>
                <w:b/>
                <w:sz w:val="24"/>
                <w:highlight w:val="none"/>
              </w:rPr>
            </w:pPr>
            <w:r>
              <w:rPr>
                <w:rFonts w:hint="eastAsia" w:ascii="宋体" w:hAnsi="宋体" w:cs="宋体"/>
                <w:sz w:val="24"/>
                <w:highlight w:val="none"/>
              </w:rPr>
              <w:t xml:space="preserve">代理费</w:t>
            </w:r>
            <w:r>
              <w:rPr>
                <w:rFonts w:hint="eastAsia" w:ascii="宋体" w:hAnsi="宋体" w:cs="宋体"/>
                <w:b/>
                <w:sz w:val="24"/>
                <w:highlight w:val="none"/>
              </w:rPr>
              <w:t xml:space="preserve">按照上述标准收取。</w:t>
            </w:r>
            <w:r>
              <w:rPr>
                <w:rFonts w:hint="eastAsia" w:ascii="宋体" w:hAnsi="宋体" w:cs="宋体"/>
                <w:b/>
                <w:sz w:val="24"/>
                <w:highlight w:val="none"/>
              </w:rPr>
            </w:r>
            <w:r/>
          </w:p>
          <w:p>
            <w:pPr>
              <w:pStyle w:val="777"/>
              <w:ind w:firstLine="480"/>
              <w:jc w:val="left"/>
              <w:rPr>
                <w:rFonts w:hint="eastAsia" w:ascii="宋体" w:hAnsi="宋体" w:cs="宋体"/>
                <w:sz w:val="24"/>
                <w:highlight w:val="none"/>
              </w:rPr>
            </w:pPr>
            <w:r>
              <w:rPr>
                <w:rFonts w:hint="eastAsia" w:ascii="宋体" w:hAnsi="宋体" w:cs="宋体"/>
                <w:sz w:val="24"/>
                <w:highlight w:val="none"/>
              </w:rPr>
              <w:t xml:space="preserve">代理费按上述计算方法不足人民币3000元的，按人民币3000元收取。</w:t>
            </w:r>
            <w:r>
              <w:rPr>
                <w:rFonts w:hint="eastAsia" w:ascii="宋体" w:hAnsi="宋体" w:cs="宋体"/>
                <w:sz w:val="24"/>
                <w:highlight w:val="none"/>
              </w:rPr>
            </w:r>
            <w:r/>
          </w:p>
          <w:p>
            <w:pPr>
              <w:pStyle w:val="777"/>
              <w:ind w:firstLine="480"/>
              <w:jc w:val="lef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若成交金额为150万，计算公式为：</w:t>
            </w:r>
            <w:r>
              <w:rPr>
                <w:rFonts w:hint="eastAsia" w:ascii="宋体" w:hAnsi="宋体" w:cs="宋体"/>
                <w:sz w:val="24"/>
                <w:highlight w:val="none"/>
                <w:lang w:val="en-US" w:eastAsia="zh-CN"/>
              </w:rPr>
            </w:r>
            <w:r/>
          </w:p>
          <w:p>
            <w:pPr>
              <w:pStyle w:val="777"/>
              <w:ind w:firstLine="480"/>
              <w:jc w:val="left"/>
              <w:rPr>
                <w:rFonts w:ascii="宋体" w:hAnsi="宋体" w:cs="宋体"/>
                <w:sz w:val="24"/>
                <w:highlight w:val="none"/>
                <w:lang w:val="en-US" w:eastAsia="zh-CN"/>
              </w:rPr>
            </w:pPr>
            <w:r>
              <w:rPr>
                <w:rFonts w:hint="eastAsia" w:ascii="宋体" w:hAnsi="宋体" w:cs="宋体"/>
                <w:sz w:val="24"/>
                <w:highlight w:val="none"/>
                <w:lang w:val="en-US" w:eastAsia="zh-CN"/>
              </w:rPr>
              <w:t xml:space="preserve">100万*1.5%+（150万-100万）*0.8%=1.9万元</w:t>
            </w:r>
            <w:r>
              <w:rPr>
                <w:rFonts w:ascii="宋体" w:hAnsi="宋体" w:cs="宋体"/>
                <w:sz w:val="24"/>
                <w:highlight w:val="none"/>
                <w:lang w:val="en-US" w:eastAsia="zh-CN"/>
              </w:rPr>
            </w:r>
            <w:r/>
          </w:p>
          <w:p>
            <w:pPr>
              <w:pStyle w:val="777"/>
              <w:jc w:val="left"/>
              <w:rPr>
                <w:rFonts w:hint="eastAsia" w:ascii="宋体" w:hAnsi="宋体" w:cs="宋体"/>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 成交供应商应在领取成交通知书时将成交服务费付至采购代理机构的</w:t>
            </w:r>
            <w:r>
              <w:rPr>
                <w:rFonts w:hint="eastAsia" w:ascii="宋体" w:hAnsi="宋体" w:cs="宋体"/>
                <w:sz w:val="24"/>
                <w:highlight w:val="none"/>
                <w:u w:val="single"/>
                <w:lang w:val="en-US" w:eastAsia="zh-CN"/>
              </w:rPr>
              <w:t xml:space="preserve">指定账户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tc>
      </w:tr>
    </w:tbl>
    <w:p>
      <w:pPr>
        <w:pStyle w:val="777"/>
        <w:jc w:val="both"/>
        <w:spacing w:line="360" w:lineRule="auto"/>
        <w:tabs>
          <w:tab w:val="left" w:pos="5580" w:leader="none"/>
        </w:tabs>
        <w:rPr>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pStyle w:val="777"/>
        <w:jc w:val="center"/>
        <w:spacing w:before="240" w:after="240"/>
        <w:rPr>
          <w:b/>
          <w:sz w:val="28"/>
          <w:szCs w:val="28"/>
          <w:highlight w:val="none"/>
        </w:rPr>
      </w:pPr>
      <w:r/>
      <w:bookmarkStart w:id="66" w:name="_Toc305158785"/>
      <w:r/>
      <w:bookmarkStart w:id="67" w:name="_Toc127151517"/>
      <w:r/>
      <w:bookmarkStart w:id="68" w:name="_Toc353873932"/>
      <w:r/>
      <w:bookmarkStart w:id="69" w:name="_Toc195842882"/>
      <w:r/>
      <w:bookmarkStart w:id="70" w:name="_Toc264969207"/>
      <w:r/>
      <w:bookmarkStart w:id="71" w:name="_Toc226965790"/>
      <w:r/>
      <w:bookmarkStart w:id="72" w:name="_Toc142311019"/>
      <w:r/>
      <w:bookmarkStart w:id="73" w:name="_Toc305158859"/>
      <w:r/>
      <w:bookmarkStart w:id="74" w:name="_Toc226337213"/>
      <w:r/>
      <w:bookmarkStart w:id="75" w:name="_Toc265228355"/>
      <w:r/>
      <w:bookmarkStart w:id="76" w:name="_Toc353873662"/>
      <w:r/>
      <w:bookmarkStart w:id="77" w:name="_Toc150774722"/>
      <w:r/>
      <w:bookmarkStart w:id="78" w:name="_Toc353825542"/>
      <w:r/>
      <w:bookmarkStart w:id="79" w:name="_Toc150480755"/>
      <w:r>
        <w:rPr>
          <w:b/>
          <w:sz w:val="28"/>
          <w:szCs w:val="28"/>
          <w:highlight w:val="none"/>
        </w:rPr>
        <w:t xml:space="preserve">投标人须知</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Pr>
          <w:b/>
          <w:sz w:val="28"/>
          <w:szCs w:val="28"/>
          <w:highlight w:val="none"/>
        </w:rPr>
      </w:r>
      <w:r/>
    </w:p>
    <w:p>
      <w:pPr>
        <w:pStyle w:val="779"/>
        <w:jc w:val="left"/>
        <w:spacing w:before="0" w:line="360" w:lineRule="auto"/>
        <w:tabs>
          <w:tab w:val="center" w:pos="4592" w:leader="none"/>
          <w:tab w:val="left" w:pos="7860" w:leader="none"/>
        </w:tabs>
        <w:rPr>
          <w:rFonts w:ascii="Times New Roman" w:hAnsi="Times New Roman" w:eastAsia="宋体"/>
          <w:sz w:val="28"/>
          <w:highlight w:val="none"/>
        </w:rPr>
      </w:pPr>
      <w:r/>
      <w:bookmarkStart w:id="80" w:name="_Toc127151518"/>
      <w:r/>
      <w:bookmarkStart w:id="81" w:name="_Toc520356143"/>
      <w:r>
        <w:rPr>
          <w:rFonts w:ascii="Times New Roman" w:hAnsi="Times New Roman" w:eastAsia="宋体"/>
          <w:sz w:val="28"/>
          <w:highlight w:val="none"/>
        </w:rPr>
        <w:tab/>
      </w:r>
      <w:bookmarkStart w:id="82" w:name="_Toc151193832"/>
      <w:r/>
      <w:bookmarkStart w:id="83" w:name="_Toc305158860"/>
      <w:r/>
      <w:bookmarkStart w:id="84" w:name="_Toc151193906"/>
      <w:r/>
      <w:bookmarkStart w:id="85" w:name="_Toc265228356"/>
      <w:r/>
      <w:bookmarkStart w:id="86" w:name="_Toc151193616"/>
      <w:r/>
      <w:bookmarkStart w:id="87" w:name="_Toc226965708"/>
      <w:r/>
      <w:bookmarkStart w:id="88" w:name="_Toc150774723"/>
      <w:r/>
      <w:bookmarkStart w:id="89" w:name="_Toc142311020"/>
      <w:r/>
      <w:bookmarkStart w:id="90" w:name="_Toc226309762"/>
      <w:r/>
      <w:bookmarkStart w:id="91" w:name="_Toc305158786"/>
      <w:r/>
      <w:bookmarkStart w:id="92" w:name="_Toc150480756"/>
      <w:r/>
      <w:bookmarkStart w:id="93" w:name="_Toc151193688"/>
      <w:r/>
      <w:bookmarkStart w:id="94" w:name="_Toc151190145"/>
      <w:r/>
      <w:bookmarkStart w:id="95" w:name="_Toc226337214"/>
      <w:r/>
      <w:bookmarkStart w:id="96" w:name="_Toc151193760"/>
      <w:r/>
      <w:bookmarkStart w:id="97" w:name="_Toc150774618"/>
      <w:r/>
      <w:bookmarkStart w:id="98" w:name="_Toc150509269"/>
      <w:r/>
      <w:bookmarkStart w:id="99" w:name="_Toc264969208"/>
      <w:r/>
      <w:bookmarkStart w:id="100" w:name="_Toc195842883"/>
      <w:r/>
      <w:bookmarkStart w:id="101" w:name="_Toc226965791"/>
      <w:r>
        <w:rPr>
          <w:rFonts w:ascii="Times New Roman" w:hAnsi="Times New Roman" w:eastAsia="宋体"/>
          <w:sz w:val="28"/>
          <w:highlight w:val="none"/>
        </w:rPr>
        <w:t xml:space="preserve">一   说  明</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ascii="Times New Roman" w:hAnsi="Times New Roman" w:eastAsia="宋体"/>
          <w:sz w:val="28"/>
          <w:highlight w:val="none"/>
        </w:rPr>
        <w:tab/>
      </w:r>
      <w:r>
        <w:rPr>
          <w:rFonts w:ascii="Times New Roman" w:hAnsi="Times New Roman" w:eastAsia="宋体"/>
          <w:sz w:val="28"/>
          <w:highlight w:val="none"/>
        </w:rPr>
      </w:r>
      <w:r/>
    </w:p>
    <w:p>
      <w:pPr>
        <w:pStyle w:val="777"/>
        <w:numPr>
          <w:ilvl w:val="0"/>
          <w:numId w:val="8"/>
        </w:numPr>
        <w:ind w:left="357" w:hanging="357"/>
        <w:spacing w:line="360" w:lineRule="auto"/>
        <w:tabs>
          <w:tab w:val="left" w:pos="360" w:leader="none"/>
        </w:tabs>
        <w:rPr>
          <w:sz w:val="24"/>
          <w:highlight w:val="none"/>
        </w:rPr>
        <w:outlineLvl w:val="1"/>
      </w:pPr>
      <w:r/>
      <w:bookmarkStart w:id="102" w:name="_Toc265228357"/>
      <w:r/>
      <w:bookmarkStart w:id="103" w:name="_Toc305158861"/>
      <w:r/>
      <w:bookmarkStart w:id="104" w:name="_Toc305158787"/>
      <w:r/>
      <w:bookmarkStart w:id="105" w:name="_Toc264969209"/>
      <w:r>
        <w:rPr>
          <w:sz w:val="24"/>
          <w:highlight w:val="none"/>
        </w:rPr>
        <w:t xml:space="preserve">采购人、采购代理机构、投标人</w:t>
      </w:r>
      <w:bookmarkEnd w:id="102"/>
      <w:r/>
      <w:bookmarkEnd w:id="103"/>
      <w:r/>
      <w:bookmarkEnd w:id="104"/>
      <w:r/>
      <w:bookmarkEnd w:id="105"/>
      <w:r>
        <w:rPr>
          <w:rFonts w:hint="eastAsia"/>
          <w:sz w:val="24"/>
          <w:highlight w:val="none"/>
        </w:rPr>
        <w:t xml:space="preserve">、联合体</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rPr>
          <w:sz w:val="24"/>
          <w:highlight w:val="none"/>
        </w:rPr>
      </w:r>
      <w:r/>
    </w:p>
    <w:p>
      <w:pPr>
        <w:pStyle w:val="777"/>
        <w:numPr>
          <w:ilvl w:val="0"/>
          <w:numId w:val="8"/>
        </w:numPr>
        <w:ind w:left="357" w:hanging="357"/>
        <w:spacing w:line="360" w:lineRule="auto"/>
        <w:tabs>
          <w:tab w:val="left" w:pos="360" w:leader="none"/>
        </w:tabs>
        <w:rPr>
          <w:sz w:val="24"/>
          <w:highlight w:val="none"/>
        </w:rPr>
        <w:outlineLvl w:val="1"/>
      </w:pPr>
      <w:r/>
      <w:bookmarkStart w:id="106" w:name="_Toc151193618"/>
      <w:r/>
      <w:bookmarkStart w:id="107" w:name="_Toc127151721"/>
      <w:r/>
      <w:bookmarkStart w:id="108" w:name="_Toc151193762"/>
      <w:r/>
      <w:bookmarkStart w:id="109" w:name="_Toc164608789"/>
      <w:r/>
      <w:bookmarkStart w:id="110" w:name="_Toc151193908"/>
      <w:r/>
      <w:bookmarkStart w:id="111" w:name="_Toc164229215"/>
      <w:r/>
      <w:bookmarkStart w:id="112" w:name="_Toc127151520"/>
      <w:r/>
      <w:bookmarkStart w:id="113" w:name="_Toc127161434"/>
      <w:r/>
      <w:bookmarkStart w:id="114" w:name="_Toc150509271"/>
      <w:r/>
      <w:bookmarkStart w:id="115" w:name="_Toc151193690"/>
      <w:r/>
      <w:bookmarkStart w:id="116" w:name="_Toc195842885"/>
      <w:r/>
      <w:bookmarkStart w:id="117" w:name="_Toc150480758"/>
      <w:r/>
      <w:bookmarkStart w:id="118" w:name="_Toc151190147"/>
      <w:r/>
      <w:bookmarkStart w:id="119" w:name="_Toc265228358"/>
      <w:r/>
      <w:bookmarkStart w:id="120" w:name="_Toc226965793"/>
      <w:r/>
      <w:bookmarkStart w:id="121" w:name="_Toc150774725"/>
      <w:r/>
      <w:bookmarkStart w:id="122" w:name="_Toc164229361"/>
      <w:r/>
      <w:bookmarkStart w:id="123" w:name="_Toc226337216"/>
      <w:r/>
      <w:bookmarkStart w:id="124" w:name="_Toc264969210"/>
      <w:r/>
      <w:bookmarkStart w:id="125" w:name="_Toc226965710"/>
      <w:r/>
      <w:bookmarkStart w:id="126" w:name="_Toc226309764"/>
      <w:r/>
      <w:bookmarkStart w:id="127" w:name="_Toc164351614"/>
      <w:r/>
      <w:bookmarkStart w:id="128" w:name="_Toc150774620"/>
      <w:r/>
      <w:bookmarkStart w:id="129" w:name="_Toc305158788"/>
      <w:r/>
      <w:bookmarkStart w:id="130" w:name="_Toc149720813"/>
      <w:r/>
      <w:bookmarkStart w:id="131" w:name="_Toc164608634"/>
      <w:r/>
      <w:bookmarkStart w:id="132" w:name="_Toc151193834"/>
      <w:r/>
      <w:bookmarkStart w:id="133" w:name="_Toc142311022"/>
      <w:r/>
      <w:bookmarkStart w:id="134" w:name="_Toc305158862"/>
      <w:r>
        <w:rPr>
          <w:sz w:val="24"/>
          <w:highlight w:val="none"/>
        </w:rPr>
        <w:t xml:space="preserve">资金来源</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sz w:val="24"/>
          <w:highlight w:val="none"/>
        </w:rPr>
        <w:t xml:space="preserve">、项目属性、科研仪器设备采购、核心产品</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项目属性见《投标人须知资料表》。</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是否属于科研仪器设备采购见《投标人须知资料表》。</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核心产品见《投标人须知资料表》。</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现场考察、开标前答疑会</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35" w:name="_Toc150509273"/>
      <w:r/>
      <w:bookmarkStart w:id="136" w:name="_Toc226965712"/>
      <w:r/>
      <w:bookmarkStart w:id="137" w:name="_Toc151193836"/>
      <w:r/>
      <w:bookmarkStart w:id="138" w:name="_Toc151193692"/>
      <w:r/>
      <w:bookmarkStart w:id="139" w:name="_Toc305158790"/>
      <w:r/>
      <w:bookmarkStart w:id="140" w:name="_Toc265228360"/>
      <w:r/>
      <w:bookmarkStart w:id="141" w:name="_Toc226337218"/>
      <w:r/>
      <w:bookmarkStart w:id="142" w:name="_Toc150774622"/>
      <w:r/>
      <w:bookmarkStart w:id="143" w:name="_Toc226965795"/>
      <w:r/>
      <w:bookmarkStart w:id="144" w:name="_Toc151193764"/>
      <w:r/>
      <w:bookmarkStart w:id="145" w:name="_Toc151193910"/>
      <w:r/>
      <w:bookmarkStart w:id="146" w:name="_Toc151193620"/>
      <w:r/>
      <w:bookmarkStart w:id="147" w:name="_Toc150480760"/>
      <w:r/>
      <w:bookmarkStart w:id="148" w:name="_Toc151190149"/>
      <w:r/>
      <w:bookmarkStart w:id="149" w:name="_Toc305158864"/>
      <w:r/>
      <w:bookmarkStart w:id="150" w:name="_Toc226309766"/>
      <w:r/>
      <w:bookmarkStart w:id="151" w:name="_Toc264969212"/>
      <w:r/>
      <w:bookmarkStart w:id="152" w:name="_Toc520356146"/>
      <w:r/>
      <w:bookmarkStart w:id="153" w:name="_Toc142311024"/>
      <w:r/>
      <w:bookmarkStart w:id="154" w:name="_Toc150774727"/>
      <w:r/>
      <w:bookmarkStart w:id="155" w:name="_Toc195842887"/>
      <w:r/>
      <w:bookmarkStart w:id="156" w:name="_Toc127151522"/>
      <w:r>
        <w:rPr>
          <w:sz w:val="28"/>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样品</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样品的评审方法以及评审标准等内容见第四章《评标方法和评标标准》。</w:t>
      </w:r>
      <w:r>
        <w:rPr>
          <w:sz w:val="24"/>
          <w:highlight w:val="none"/>
        </w:rPr>
      </w:r>
      <w:r/>
    </w:p>
    <w:p>
      <w:pPr>
        <w:pStyle w:val="777"/>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777"/>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7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7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rPr>
          <w:color w:val="000000"/>
          <w:sz w:val="24"/>
          <w:highlight w:val="none"/>
        </w:rPr>
      </w:r>
      <w:r/>
    </w:p>
    <w:p>
      <w:pPr>
        <w:pStyle w:val="777"/>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77"/>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77"/>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777"/>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777"/>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7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rPr>
          <w:color w:val="000000"/>
          <w:sz w:val="24"/>
          <w:highlight w:val="none"/>
        </w:rPr>
      </w:r>
      <w:r/>
    </w:p>
    <w:p>
      <w:pPr>
        <w:pStyle w:val="7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7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7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77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本项目是否专门面向中小企业预留采购份额见第一章《投标邀请》。</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采购标的对应的中小企业划分标准所属行业见《投标人须知资料表》。</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小微企业价格评审优惠的政策调整：见第四章《评标方法和评标标准》。</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rPr>
          <w:sz w:val="24"/>
          <w:highlight w:val="none"/>
        </w:rPr>
      </w:r>
      <w:r/>
    </w:p>
    <w:p>
      <w:pPr>
        <w:pStyle w:val="777"/>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777"/>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777"/>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777"/>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投标无效</w:t>
      </w:r>
      <w:r>
        <w:rPr>
          <w:sz w:val="24"/>
          <w:highlight w:val="none"/>
        </w:rPr>
        <w:t xml:space="preserve">。关于信息安全相关规定依据《关于信息安全产品实施政府采购的通知》（财库〔2010〕48 号）。</w:t>
      </w:r>
      <w:r>
        <w:rPr>
          <w:rFonts w:hint="eastAsia"/>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777"/>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投标费用</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rPr>
          <w:sz w:val="24"/>
          <w:highlight w:val="none"/>
        </w:rPr>
      </w:r>
      <w:r/>
    </w:p>
    <w:p>
      <w:pPr>
        <w:pStyle w:val="779"/>
        <w:spacing w:before="0" w:line="360" w:lineRule="auto"/>
        <w:rPr>
          <w:rFonts w:ascii="Times New Roman" w:hAnsi="Times New Roman" w:eastAsia="宋体"/>
          <w:sz w:val="28"/>
          <w:highlight w:val="none"/>
        </w:rPr>
      </w:pPr>
      <w:r/>
      <w:bookmarkStart w:id="157" w:name="_1.8_计量单位"/>
      <w:r/>
      <w:bookmarkEnd w:id="157"/>
      <w:r>
        <w:rPr>
          <w:rFonts w:ascii="Times New Roman" w:hAnsi="Times New Roman" w:eastAsia="宋体"/>
          <w:sz w:val="28"/>
          <w:highlight w:val="none"/>
        </w:rPr>
        <w:t xml:space="preserve">二   招标文件</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rFonts w:ascii="Times New Roman" w:hAnsi="Times New Roman" w:eastAsia="宋体"/>
          <w:sz w:val="28"/>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Start w:id="158" w:name="_Toc164351617"/>
      <w:r/>
      <w:bookmarkStart w:id="159" w:name="_Toc164229218"/>
      <w:r/>
      <w:bookmarkStart w:id="160" w:name="_Toc150774623"/>
      <w:r/>
      <w:bookmarkStart w:id="161" w:name="_Toc164229364"/>
      <w:r/>
      <w:bookmarkStart w:id="162" w:name="_Toc265228361"/>
      <w:r/>
      <w:bookmarkStart w:id="163" w:name="_Toc195842888"/>
      <w:r/>
      <w:bookmarkStart w:id="164" w:name="_Toc226965713"/>
      <w:r/>
      <w:bookmarkStart w:id="165" w:name="_Toc151193911"/>
      <w:r/>
      <w:bookmarkStart w:id="166" w:name="_Toc226965796"/>
      <w:r/>
      <w:bookmarkStart w:id="167" w:name="_Toc305158865"/>
      <w:r/>
      <w:bookmarkStart w:id="168" w:name="_Toc226337219"/>
      <w:r/>
      <w:bookmarkStart w:id="169" w:name="_Toc151193837"/>
      <w:r/>
      <w:bookmarkStart w:id="170" w:name="_Toc127151523"/>
      <w:r/>
      <w:bookmarkStart w:id="171" w:name="_Toc520356147"/>
      <w:r/>
      <w:bookmarkStart w:id="172" w:name="_Toc226309767"/>
      <w:r/>
      <w:bookmarkStart w:id="173" w:name="_Toc142311025"/>
      <w:r/>
      <w:bookmarkStart w:id="174" w:name="_Toc264969213"/>
      <w:r/>
      <w:bookmarkStart w:id="175" w:name="_Toc151193765"/>
      <w:r/>
      <w:bookmarkStart w:id="176" w:name="_Toc151190150"/>
      <w:r/>
      <w:bookmarkStart w:id="177" w:name="_Toc164608637"/>
      <w:r/>
      <w:bookmarkStart w:id="178" w:name="_Toc150480761"/>
      <w:r/>
      <w:bookmarkStart w:id="179" w:name="_Toc151193693"/>
      <w:r/>
      <w:bookmarkStart w:id="180" w:name="_Toc150774728"/>
      <w:r/>
      <w:bookmarkStart w:id="181" w:name="_Toc151193621"/>
      <w:r/>
      <w:bookmarkStart w:id="182" w:name="_Toc127161437"/>
      <w:r/>
      <w:bookmarkStart w:id="183" w:name="_Toc149720816"/>
      <w:r/>
      <w:bookmarkStart w:id="184" w:name="_Toc305158791"/>
      <w:r/>
      <w:bookmarkStart w:id="185" w:name="_Toc150509274"/>
      <w:r/>
      <w:bookmarkStart w:id="186" w:name="_Toc127151724"/>
      <w:r/>
      <w:bookmarkStart w:id="187" w:name="_Toc164608792"/>
      <w:r>
        <w:rPr>
          <w:sz w:val="24"/>
          <w:highlight w:val="none"/>
        </w:rPr>
        <w:t xml:space="preserve">招标文件构</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Pr>
          <w:sz w:val="24"/>
          <w:highlight w:val="none"/>
        </w:rPr>
        <w:t xml:space="preserve">成</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招标文件包括以下部分：</w:t>
      </w:r>
      <w:r>
        <w:rPr>
          <w:sz w:val="24"/>
          <w:highlight w:val="none"/>
        </w:rPr>
      </w:r>
      <w:r/>
    </w:p>
    <w:p>
      <w:pPr>
        <w:pStyle w:val="777"/>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投标邀请</w:t>
      </w:r>
      <w:r>
        <w:rPr>
          <w:sz w:val="24"/>
          <w:highlight w:val="none"/>
        </w:rPr>
      </w:r>
      <w:r/>
    </w:p>
    <w:p>
      <w:pPr>
        <w:pStyle w:val="777"/>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投标人须知</w:t>
      </w:r>
      <w:r>
        <w:rPr>
          <w:sz w:val="24"/>
          <w:highlight w:val="none"/>
        </w:rPr>
      </w:r>
      <w:r/>
    </w:p>
    <w:p>
      <w:pPr>
        <w:pStyle w:val="777"/>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资格审查</w:t>
      </w:r>
      <w:r>
        <w:rPr>
          <w:sz w:val="24"/>
          <w:highlight w:val="none"/>
        </w:rPr>
      </w:r>
      <w:r/>
    </w:p>
    <w:p>
      <w:pPr>
        <w:pStyle w:val="777"/>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评标程序、评标方法和评标标准</w:t>
      </w:r>
      <w:r>
        <w:rPr>
          <w:sz w:val="24"/>
          <w:highlight w:val="none"/>
        </w:rPr>
      </w:r>
      <w:r/>
    </w:p>
    <w:p>
      <w:pPr>
        <w:pStyle w:val="777"/>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777"/>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拟签订的合同文本</w:t>
      </w:r>
      <w:r>
        <w:rPr>
          <w:sz w:val="24"/>
          <w:highlight w:val="none"/>
        </w:rPr>
      </w:r>
      <w:r/>
    </w:p>
    <w:p>
      <w:pPr>
        <w:pStyle w:val="777"/>
        <w:numPr>
          <w:ilvl w:val="0"/>
          <w:numId w:val="10"/>
        </w:numPr>
        <w:ind w:left="1440" w:firstLine="5"/>
        <w:spacing w:line="360" w:lineRule="auto"/>
        <w:tabs>
          <w:tab w:val="left" w:pos="1980" w:leader="none"/>
          <w:tab w:val="left" w:pos="2520" w:leader="none"/>
          <w:tab w:val="left" w:pos="4941" w:leader="none"/>
        </w:tabs>
        <w:rPr>
          <w:rFonts w:hint="eastAsia"/>
          <w:sz w:val="24"/>
          <w:highlight w:val="none"/>
        </w:rPr>
      </w:pPr>
      <w:r>
        <w:rPr>
          <w:sz w:val="24"/>
          <w:highlight w:val="none"/>
        </w:rPr>
        <w:t xml:space="preserve">投标文件格式</w:t>
      </w:r>
      <w:r>
        <w:rPr>
          <w:rFonts w:hint="eastAsia"/>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rPr>
          <w:sz w:val="24"/>
          <w:highlight w:val="none"/>
        </w:rPr>
      </w:r>
      <w:r/>
    </w:p>
    <w:p>
      <w:pPr>
        <w:pStyle w:val="777"/>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对招标文件的澄清或修改</w:t>
      </w:r>
      <w:r>
        <w:rPr>
          <w:sz w:val="24"/>
          <w:highlight w:val="none"/>
        </w:rPr>
      </w:r>
      <w:r/>
    </w:p>
    <w:p>
      <w:pPr>
        <w:pStyle w:val="777"/>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777"/>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highlight w:val="none"/>
        </w:rPr>
      </w:r>
      <w:r/>
    </w:p>
    <w:p>
      <w:pPr>
        <w:pStyle w:val="777"/>
        <w:ind w:left="1080"/>
        <w:spacing w:line="360" w:lineRule="auto"/>
        <w:tabs>
          <w:tab w:val="left" w:pos="1080" w:leader="none"/>
          <w:tab w:val="left" w:pos="1561" w:leader="none"/>
        </w:tabs>
        <w:rPr>
          <w:sz w:val="28"/>
          <w:highlight w:val="none"/>
        </w:rPr>
      </w:pPr>
      <w:r/>
      <w:bookmarkStart w:id="188" w:name="_Toc226965716"/>
      <w:r/>
      <w:bookmarkStart w:id="189" w:name="_Toc142311028"/>
      <w:r/>
      <w:bookmarkStart w:id="190" w:name="_Toc151193768"/>
      <w:r/>
      <w:bookmarkStart w:id="191" w:name="_Toc265228364"/>
      <w:r/>
      <w:bookmarkStart w:id="192" w:name="_Toc151193624"/>
      <w:r/>
      <w:bookmarkStart w:id="193" w:name="_Toc305158868"/>
      <w:r/>
      <w:bookmarkStart w:id="194" w:name="_Toc264969216"/>
      <w:r/>
      <w:bookmarkStart w:id="195" w:name="_Toc305158794"/>
      <w:r/>
      <w:bookmarkStart w:id="196" w:name="_Toc150509277"/>
      <w:r/>
      <w:bookmarkStart w:id="197" w:name="_Toc226337222"/>
      <w:r/>
      <w:bookmarkStart w:id="198" w:name="_Toc520356150"/>
      <w:r/>
      <w:bookmarkStart w:id="199" w:name="_Toc150480764"/>
      <w:r/>
      <w:bookmarkStart w:id="200" w:name="_Toc226309770"/>
      <w:r/>
      <w:bookmarkStart w:id="201" w:name="_Toc516367020"/>
      <w:r/>
      <w:bookmarkStart w:id="202" w:name="_Toc226965799"/>
      <w:r/>
      <w:bookmarkStart w:id="203" w:name="_Toc127151526"/>
      <w:r/>
      <w:bookmarkStart w:id="204" w:name="_Toc151190153"/>
      <w:r/>
      <w:bookmarkStart w:id="205" w:name="_Toc151193840"/>
      <w:r/>
      <w:bookmarkStart w:id="206" w:name="_Toc150774626"/>
      <w:r/>
      <w:bookmarkStart w:id="207" w:name="_Toc151193914"/>
      <w:r/>
      <w:bookmarkStart w:id="208" w:name="_Toc195842891"/>
      <w:r/>
      <w:bookmarkStart w:id="209" w:name="_Toc150774731"/>
      <w:r/>
      <w:bookmarkStart w:id="210" w:name="_Toc151193696"/>
      <w:r>
        <w:rPr>
          <w:sz w:val="28"/>
          <w:highlight w:val="none"/>
        </w:rPr>
      </w:r>
      <w:r/>
    </w:p>
    <w:p>
      <w:pPr>
        <w:pStyle w:val="779"/>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01"/>
      <w:r>
        <w:rPr>
          <w:rFonts w:ascii="Times New Roman" w:hAnsi="Times New Roman" w:eastAsia="宋体"/>
          <w:sz w:val="28"/>
          <w:highlight w:val="none"/>
        </w:rPr>
        <w:t xml:space="preserve">的编制</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2"/>
      <w:r/>
      <w:bookmarkEnd w:id="203"/>
      <w:r/>
      <w:bookmarkEnd w:id="204"/>
      <w:r/>
      <w:bookmarkEnd w:id="205"/>
      <w:r/>
      <w:bookmarkEnd w:id="206"/>
      <w:r/>
      <w:bookmarkEnd w:id="207"/>
      <w:r/>
      <w:bookmarkEnd w:id="208"/>
      <w:r/>
      <w:bookmarkEnd w:id="209"/>
      <w:r/>
      <w:bookmarkEnd w:id="210"/>
      <w:r>
        <w:rPr>
          <w:rFonts w:ascii="Times New Roman" w:hAnsi="Times New Roman" w:eastAsia="宋体"/>
          <w:sz w:val="28"/>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Start w:id="211" w:name="_Toc164608796"/>
      <w:r/>
      <w:bookmarkStart w:id="212" w:name="_Toc520356151"/>
      <w:r/>
      <w:bookmarkStart w:id="213" w:name="_Toc142311029"/>
      <w:r/>
      <w:bookmarkStart w:id="214" w:name="_Toc305158795"/>
      <w:r/>
      <w:bookmarkStart w:id="215" w:name="_Toc305158869"/>
      <w:r/>
      <w:bookmarkStart w:id="216" w:name="_Toc150480765"/>
      <w:r/>
      <w:bookmarkStart w:id="217" w:name="_Toc151190154"/>
      <w:r/>
      <w:bookmarkStart w:id="218" w:name="_Toc164608641"/>
      <w:r/>
      <w:bookmarkStart w:id="219" w:name="_Toc195842892"/>
      <w:r/>
      <w:bookmarkStart w:id="220" w:name="_Toc226965717"/>
      <w:r/>
      <w:bookmarkStart w:id="221" w:name="_Toc164229222"/>
      <w:r/>
      <w:bookmarkStart w:id="222" w:name="_Toc164229368"/>
      <w:r/>
      <w:bookmarkStart w:id="223" w:name="_Toc149720820"/>
      <w:r/>
      <w:bookmarkStart w:id="224" w:name="_Toc226965800"/>
      <w:r/>
      <w:bookmarkStart w:id="225" w:name="_Toc150774627"/>
      <w:r/>
      <w:bookmarkStart w:id="226" w:name="_Toc264969217"/>
      <w:r/>
      <w:bookmarkStart w:id="227" w:name="_Toc151193915"/>
      <w:r/>
      <w:bookmarkStart w:id="228" w:name="_Toc151193841"/>
      <w:r/>
      <w:bookmarkStart w:id="229" w:name="_Toc151193697"/>
      <w:r/>
      <w:bookmarkStart w:id="230" w:name="_Toc150774732"/>
      <w:r/>
      <w:bookmarkStart w:id="231" w:name="_Toc265228365"/>
      <w:r/>
      <w:bookmarkStart w:id="232" w:name="_Toc150509278"/>
      <w:r/>
      <w:bookmarkStart w:id="233" w:name="_Toc151193625"/>
      <w:r/>
      <w:bookmarkStart w:id="234" w:name="_Toc226309771"/>
      <w:r/>
      <w:bookmarkStart w:id="235" w:name="_Toc226337223"/>
      <w:r/>
      <w:bookmarkStart w:id="236" w:name="_Toc127151527"/>
      <w:r/>
      <w:bookmarkStart w:id="237" w:name="_Toc516367021"/>
      <w:r/>
      <w:bookmarkStart w:id="238" w:name="_Toc127151728"/>
      <w:r/>
      <w:bookmarkStart w:id="239" w:name="_Toc164351621"/>
      <w:r/>
      <w:bookmarkStart w:id="240" w:name="_Toc127161441"/>
      <w:r/>
      <w:bookmarkStart w:id="241" w:name="_Toc151193769"/>
      <w:r>
        <w:rPr>
          <w:sz w:val="24"/>
          <w:highlight w:val="none"/>
        </w:rPr>
        <w:t xml:space="preserve">投标范围、投标文件中计量单位的使用</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Pr>
          <w:sz w:val="24"/>
          <w:highlight w:val="none"/>
        </w:rPr>
        <w:t xml:space="preserve">及投标语言</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Start w:id="242" w:name="_Toc226965718"/>
      <w:r/>
      <w:bookmarkStart w:id="243" w:name="_Toc151193698"/>
      <w:r/>
      <w:bookmarkStart w:id="244" w:name="_Toc151193770"/>
      <w:r/>
      <w:bookmarkStart w:id="245" w:name="_Toc164229369"/>
      <w:r/>
      <w:bookmarkStart w:id="246" w:name="_Toc226965801"/>
      <w:r/>
      <w:bookmarkStart w:id="247" w:name="_Toc265228366"/>
      <w:r/>
      <w:bookmarkStart w:id="248" w:name="_Toc150480766"/>
      <w:r/>
      <w:bookmarkStart w:id="249" w:name="_Ref467306676"/>
      <w:r/>
      <w:bookmarkStart w:id="250" w:name="_Toc516367022"/>
      <w:r/>
      <w:bookmarkStart w:id="251" w:name="_Ref467306195"/>
      <w:r/>
      <w:bookmarkStart w:id="252" w:name="_Toc149720821"/>
      <w:r/>
      <w:bookmarkStart w:id="253" w:name="_Toc142311030"/>
      <w:r/>
      <w:bookmarkStart w:id="254" w:name="_Toc150774628"/>
      <w:r/>
      <w:bookmarkStart w:id="255" w:name="_Toc305158870"/>
      <w:r/>
      <w:bookmarkStart w:id="256" w:name="_Toc226337224"/>
      <w:r/>
      <w:bookmarkStart w:id="257" w:name="_Toc164229223"/>
      <w:r/>
      <w:bookmarkStart w:id="258" w:name="_Toc150509279"/>
      <w:r/>
      <w:bookmarkStart w:id="259" w:name="_Toc151193842"/>
      <w:r/>
      <w:bookmarkStart w:id="260" w:name="_Toc226309772"/>
      <w:r/>
      <w:bookmarkStart w:id="261" w:name="_Toc305158796"/>
      <w:r/>
      <w:bookmarkStart w:id="262" w:name="_Toc164608642"/>
      <w:r/>
      <w:bookmarkStart w:id="263" w:name="_Toc127151729"/>
      <w:r/>
      <w:bookmarkStart w:id="264" w:name="_Toc164608797"/>
      <w:r/>
      <w:bookmarkStart w:id="265" w:name="_Toc151193916"/>
      <w:r/>
      <w:bookmarkStart w:id="266" w:name="_Toc164351622"/>
      <w:r/>
      <w:bookmarkStart w:id="267" w:name="_Toc150774733"/>
      <w:r/>
      <w:bookmarkStart w:id="268" w:name="_Toc127161442"/>
      <w:r/>
      <w:bookmarkStart w:id="269" w:name="_Toc151193626"/>
      <w:r/>
      <w:bookmarkStart w:id="270" w:name="_Toc127151528"/>
      <w:r/>
      <w:bookmarkStart w:id="271" w:name="_Toc151190155"/>
      <w:r/>
      <w:bookmarkStart w:id="272" w:name="_Toc264969218"/>
      <w:r/>
      <w:bookmarkStart w:id="273" w:name="_Toc520356152"/>
      <w:r/>
      <w:bookmarkStart w:id="274" w:name="_Toc195842893"/>
      <w:r>
        <w:rPr>
          <w:sz w:val="24"/>
          <w:highlight w:val="none"/>
        </w:rPr>
        <w:t xml:space="preserve">投标文件</w:t>
      </w:r>
      <w:bookmarkEnd w:id="249"/>
      <w:r/>
      <w:bookmarkEnd w:id="250"/>
      <w:r/>
      <w:bookmarkEnd w:id="251"/>
      <w:r>
        <w:rPr>
          <w:sz w:val="24"/>
          <w:highlight w:val="none"/>
        </w:rPr>
        <w:t xml:space="preserve">构成</w:t>
      </w:r>
      <w:bookmarkEnd w:id="242"/>
      <w:r/>
      <w:bookmarkEnd w:id="243"/>
      <w:r/>
      <w:bookmarkEnd w:id="244"/>
      <w:r/>
      <w:bookmarkEnd w:id="245"/>
      <w:r/>
      <w:bookmarkEnd w:id="246"/>
      <w:r/>
      <w:bookmarkEnd w:id="247"/>
      <w:r/>
      <w:bookmarkEnd w:id="248"/>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75"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第四章《评标程序、评标方法和评标标准》中涉及的证明文件。</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投标人认为应附的其他材料。</w:t>
      </w:r>
      <w:bookmarkEnd w:id="275"/>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Start w:id="276" w:name="_Toc150774735"/>
      <w:r/>
      <w:bookmarkStart w:id="277" w:name="_Toc150774630"/>
      <w:r/>
      <w:bookmarkStart w:id="278" w:name="_Toc164608644"/>
      <w:r/>
      <w:bookmarkStart w:id="279" w:name="_Toc164229371"/>
      <w:r/>
      <w:bookmarkStart w:id="280" w:name="_Toc520356155"/>
      <w:r/>
      <w:bookmarkStart w:id="281" w:name="_Toc142311032"/>
      <w:r/>
      <w:bookmarkStart w:id="282" w:name="_Toc127151731"/>
      <w:r/>
      <w:bookmarkStart w:id="283" w:name="_Toc150480768"/>
      <w:r/>
      <w:bookmarkStart w:id="284" w:name="_Toc151193700"/>
      <w:r/>
      <w:bookmarkStart w:id="285" w:name="_Toc127151530"/>
      <w:r/>
      <w:bookmarkStart w:id="286" w:name="_Toc150509281"/>
      <w:r/>
      <w:bookmarkStart w:id="287" w:name="_Toc164351624"/>
      <w:r/>
      <w:bookmarkStart w:id="288" w:name="_Toc127161444"/>
      <w:r/>
      <w:bookmarkStart w:id="289" w:name="_Toc151190157"/>
      <w:r/>
      <w:bookmarkStart w:id="290" w:name="_Toc151193628"/>
      <w:r/>
      <w:bookmarkStart w:id="291" w:name="_Toc151193772"/>
      <w:r/>
      <w:bookmarkStart w:id="292" w:name="_Toc149720823"/>
      <w:r/>
      <w:bookmarkStart w:id="293" w:name="_Toc151193844"/>
      <w:r/>
      <w:bookmarkStart w:id="294" w:name="_Toc151193918"/>
      <w:r/>
      <w:bookmarkStart w:id="295" w:name="_Toc164608799"/>
      <w:r/>
      <w:bookmarkStart w:id="296" w:name="_Toc164229225"/>
      <w:r/>
      <w:bookmarkStart w:id="297" w:name="_Toc195842895"/>
      <w:r>
        <w:rPr>
          <w:sz w:val="24"/>
          <w:highlight w:val="none"/>
        </w:rPr>
        <w:t xml:space="preserve">投标报价</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所有投标均以人民币报价。</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rPr>
          <w:sz w:val="24"/>
          <w:highlight w:val="none"/>
        </w:rPr>
      </w:r>
      <w:r/>
    </w:p>
    <w:p>
      <w:pPr>
        <w:pStyle w:val="777"/>
        <w:numPr>
          <w:ilvl w:val="2"/>
          <w:numId w:val="8"/>
        </w:numPr>
        <w:spacing w:line="360" w:lineRule="auto"/>
        <w:tabs>
          <w:tab w:val="left" w:pos="1980" w:leader="none"/>
        </w:tabs>
        <w:rPr>
          <w:sz w:val="24"/>
          <w:highlight w:val="none"/>
        </w:rPr>
      </w:pPr>
      <w:r>
        <w:rPr>
          <w:rFonts w:hint="eastAsia"/>
          <w:sz w:val="24"/>
          <w:highlight w:val="none"/>
        </w:rPr>
        <w:t xml:space="preserve">报价</w:t>
      </w:r>
      <w:r>
        <w:rPr>
          <w:rFonts w:hint="eastAsia" w:ascii="宋体" w:hAnsi="宋体"/>
          <w:bCs/>
          <w:color w:val="000000"/>
          <w:sz w:val="24"/>
          <w:highlight w:val="none"/>
        </w:rPr>
        <w:t xml:space="preserve">包含但不限于所有人员的工资、福利、各项法定社会保险（不得以其他保险来代替法定的社会保险，国家法定社保指：养老保险、医疗保险、失业保险、生育保险、工伤保险），高温费、装备工具、食宿、物品和物品损耗、</w:t>
      </w:r>
      <w:r>
        <w:rPr>
          <w:rFonts w:hint="eastAsia" w:ascii="宋体" w:hAnsi="宋体"/>
          <w:sz w:val="24"/>
          <w:highlight w:val="none"/>
          <w:lang w:val="en-US" w:eastAsia="zh-CN"/>
        </w:rPr>
        <w:t xml:space="preserve">洗扫</w:t>
      </w:r>
      <w:r>
        <w:rPr>
          <w:rFonts w:hint="eastAsia" w:ascii="宋体" w:hAnsi="宋体"/>
          <w:sz w:val="24"/>
          <w:highlight w:val="none"/>
        </w:rPr>
        <w:t xml:space="preserve">产生垃圾清理及处置费用</w:t>
      </w:r>
      <w:r>
        <w:rPr>
          <w:rFonts w:hint="eastAsia" w:ascii="宋体" w:hAnsi="宋体"/>
          <w:bCs/>
          <w:color w:val="000000"/>
          <w:sz w:val="24"/>
          <w:highlight w:val="none"/>
        </w:rPr>
        <w:t xml:space="preserve">，以及管理、劳务、培训、利润、税金、风险及政策性文件规定的其它各种费用中的数项，以及为完成招标文件规定的各项管理工作所涉及到的一切相关费用。</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按照招标文件要求完成本项目的全部相关服务费用。</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777"/>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rPr>
          <w:sz w:val="24"/>
          <w:highlight w:val="none"/>
        </w:rPr>
      </w:r>
      <w:r/>
    </w:p>
    <w:p>
      <w:pPr>
        <w:pStyle w:val="777"/>
        <w:numPr>
          <w:ilvl w:val="0"/>
          <w:numId w:val="8"/>
        </w:numPr>
        <w:ind w:left="357" w:hanging="357"/>
        <w:spacing w:line="360" w:lineRule="auto"/>
        <w:tabs>
          <w:tab w:val="left" w:pos="360" w:leader="none"/>
          <w:tab w:val="left" w:pos="900" w:leader="none"/>
        </w:tabs>
        <w:rPr>
          <w:rFonts w:hint="eastAsia"/>
          <w:sz w:val="24"/>
          <w:highlight w:val="none"/>
        </w:rPr>
        <w:outlineLvl w:val="1"/>
      </w:pPr>
      <w:r/>
      <w:bookmarkStart w:id="298" w:name="_Toc164351625"/>
      <w:r/>
      <w:bookmarkStart w:id="299" w:name="_Toc305158873"/>
      <w:r/>
      <w:bookmarkStart w:id="300" w:name="_Toc127151732"/>
      <w:r/>
      <w:bookmarkStart w:id="301" w:name="_Toc149720824"/>
      <w:r/>
      <w:bookmarkStart w:id="302" w:name="_Toc151193629"/>
      <w:r/>
      <w:bookmarkStart w:id="303" w:name="_Toc164608645"/>
      <w:r/>
      <w:bookmarkStart w:id="304" w:name="_Toc520356156"/>
      <w:r/>
      <w:bookmarkStart w:id="305" w:name="_Toc151190158"/>
      <w:r/>
      <w:bookmarkStart w:id="306" w:name="_Toc164229372"/>
      <w:r/>
      <w:bookmarkStart w:id="307" w:name="_Toc151193919"/>
      <w:r/>
      <w:bookmarkStart w:id="308" w:name="_Toc226337227"/>
      <w:r/>
      <w:bookmarkStart w:id="309" w:name="_Toc164608800"/>
      <w:r/>
      <w:bookmarkStart w:id="310" w:name="_Toc226965721"/>
      <w:r/>
      <w:bookmarkStart w:id="311" w:name="_Toc150774736"/>
      <w:r/>
      <w:bookmarkStart w:id="312" w:name="_Toc195842896"/>
      <w:r/>
      <w:bookmarkStart w:id="313" w:name="_Toc151193701"/>
      <w:r/>
      <w:bookmarkStart w:id="314" w:name="_Toc305158799"/>
      <w:r/>
      <w:bookmarkStart w:id="315" w:name="_Toc264969221"/>
      <w:r/>
      <w:bookmarkStart w:id="316" w:name="_Ref467306513"/>
      <w:r/>
      <w:bookmarkStart w:id="317" w:name="_Toc150774631"/>
      <w:r/>
      <w:bookmarkStart w:id="318" w:name="_Toc226965804"/>
      <w:r/>
      <w:bookmarkStart w:id="319" w:name="_Toc226309775"/>
      <w:r/>
      <w:bookmarkStart w:id="320" w:name="_Toc150509282"/>
      <w:r/>
      <w:bookmarkStart w:id="321" w:name="_Toc151193845"/>
      <w:r/>
      <w:bookmarkStart w:id="322" w:name="_Toc265228369"/>
      <w:r/>
      <w:bookmarkStart w:id="323" w:name="_Toc127151531"/>
      <w:r/>
      <w:bookmarkStart w:id="324" w:name="_Toc150480769"/>
      <w:r/>
      <w:bookmarkStart w:id="325" w:name="_Toc151193773"/>
      <w:r/>
      <w:bookmarkStart w:id="326" w:name="_Toc127161445"/>
      <w:r/>
      <w:bookmarkStart w:id="327" w:name="_Toc164229226"/>
      <w:r/>
      <w:bookmarkStart w:id="328" w:name="_Toc142311033"/>
      <w:r>
        <w:rPr>
          <w:sz w:val="24"/>
          <w:highlight w:val="none"/>
        </w:rPr>
        <w:t xml:space="preserve">投标保证金</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Pr>
          <w:rFonts w:hint="eastAsia"/>
          <w:sz w:val="24"/>
          <w:highlight w:val="none"/>
        </w:rPr>
      </w:r>
      <w:r/>
    </w:p>
    <w:p>
      <w:pPr>
        <w:pStyle w:val="777"/>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Start w:id="329" w:name="_Toc151193846"/>
      <w:r/>
      <w:bookmarkStart w:id="330" w:name="_Toc164608646"/>
      <w:r/>
      <w:bookmarkStart w:id="331" w:name="_Toc150774737"/>
      <w:r/>
      <w:bookmarkStart w:id="332" w:name="_Toc264969222"/>
      <w:r/>
      <w:bookmarkStart w:id="333" w:name="_Toc305158874"/>
      <w:r/>
      <w:bookmarkStart w:id="334" w:name="_Toc164351626"/>
      <w:r/>
      <w:bookmarkStart w:id="335" w:name="_Toc151193702"/>
      <w:r/>
      <w:bookmarkStart w:id="336" w:name="_Toc127151733"/>
      <w:r/>
      <w:bookmarkStart w:id="337" w:name="_Toc151193630"/>
      <w:r/>
      <w:bookmarkStart w:id="338" w:name="_Toc150509283"/>
      <w:r/>
      <w:bookmarkStart w:id="339" w:name="_Toc127151532"/>
      <w:r/>
      <w:bookmarkStart w:id="340" w:name="_Toc305158800"/>
      <w:r/>
      <w:bookmarkStart w:id="341" w:name="_Toc226337228"/>
      <w:r/>
      <w:bookmarkStart w:id="342" w:name="_Toc226965722"/>
      <w:r/>
      <w:bookmarkStart w:id="343" w:name="_Toc226309776"/>
      <w:r/>
      <w:bookmarkStart w:id="344" w:name="_Toc150480770"/>
      <w:r/>
      <w:bookmarkStart w:id="345" w:name="_Toc164229373"/>
      <w:r/>
      <w:bookmarkStart w:id="346" w:name="_Toc127161446"/>
      <w:r/>
      <w:bookmarkStart w:id="347" w:name="_Toc149720825"/>
      <w:r/>
      <w:bookmarkStart w:id="348" w:name="_Toc142311034"/>
      <w:r/>
      <w:bookmarkStart w:id="349" w:name="_Toc164229227"/>
      <w:r/>
      <w:bookmarkStart w:id="350" w:name="_Toc195842897"/>
      <w:r/>
      <w:bookmarkStart w:id="351" w:name="_Toc151190159"/>
      <w:r/>
      <w:bookmarkStart w:id="352" w:name="_Toc265228370"/>
      <w:r/>
      <w:bookmarkStart w:id="353" w:name="_Toc150774632"/>
      <w:r/>
      <w:bookmarkStart w:id="354" w:name="_Toc151193920"/>
      <w:r/>
      <w:bookmarkStart w:id="355" w:name="_Toc151193774"/>
      <w:r/>
      <w:bookmarkStart w:id="356" w:name="_Toc520356157"/>
      <w:r/>
      <w:bookmarkStart w:id="357" w:name="_Toc164608801"/>
      <w:r/>
      <w:bookmarkStart w:id="358" w:name="_Toc226965805"/>
      <w:r>
        <w:rPr>
          <w:sz w:val="24"/>
          <w:highlight w:val="none"/>
        </w:rPr>
        <w:t xml:space="preserve">投标有效期</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Start w:id="359" w:name="_Toc150480771"/>
      <w:r/>
      <w:bookmarkStart w:id="360" w:name="_Toc151193631"/>
      <w:r/>
      <w:bookmarkStart w:id="361" w:name="_Toc151190160"/>
      <w:r/>
      <w:bookmarkStart w:id="362" w:name="_Toc127151734"/>
      <w:r/>
      <w:bookmarkStart w:id="363" w:name="_Toc164229374"/>
      <w:r/>
      <w:bookmarkStart w:id="364" w:name="_Toc150509284"/>
      <w:r/>
      <w:bookmarkStart w:id="365" w:name="_Toc150774633"/>
      <w:r/>
      <w:bookmarkStart w:id="366" w:name="_Toc127161447"/>
      <w:r/>
      <w:bookmarkStart w:id="367" w:name="_Toc226965723"/>
      <w:r/>
      <w:bookmarkStart w:id="368" w:name="_Toc226965806"/>
      <w:r/>
      <w:bookmarkStart w:id="369" w:name="_Toc164351627"/>
      <w:r/>
      <w:bookmarkStart w:id="370" w:name="_Toc520356158"/>
      <w:r/>
      <w:bookmarkStart w:id="371" w:name="_Toc226309777"/>
      <w:r/>
      <w:bookmarkStart w:id="372" w:name="_Toc149720826"/>
      <w:r/>
      <w:bookmarkStart w:id="373" w:name="_Toc151193847"/>
      <w:r/>
      <w:bookmarkStart w:id="374" w:name="_Toc150774738"/>
      <w:r/>
      <w:bookmarkStart w:id="375" w:name="_Toc164608647"/>
      <w:r/>
      <w:bookmarkStart w:id="376" w:name="_Toc151193921"/>
      <w:r/>
      <w:bookmarkStart w:id="377" w:name="_Toc265228371"/>
      <w:r/>
      <w:bookmarkStart w:id="378" w:name="_Toc164608802"/>
      <w:r/>
      <w:bookmarkStart w:id="379" w:name="_Toc305158875"/>
      <w:r/>
      <w:bookmarkStart w:id="380" w:name="_Toc305158801"/>
      <w:r/>
      <w:bookmarkStart w:id="381" w:name="_Toc151193703"/>
      <w:r/>
      <w:bookmarkStart w:id="382" w:name="_Toc226337229"/>
      <w:r/>
      <w:bookmarkStart w:id="383" w:name="_Toc142311035"/>
      <w:r/>
      <w:bookmarkStart w:id="384" w:name="_Toc195842898"/>
      <w:r/>
      <w:bookmarkStart w:id="385" w:name="_Toc151193775"/>
      <w:r/>
      <w:bookmarkStart w:id="386" w:name="_Toc264969223"/>
      <w:r/>
      <w:bookmarkStart w:id="387" w:name="_Toc127151533"/>
      <w:r/>
      <w:bookmarkStart w:id="388" w:name="_Toc164229228"/>
      <w:r>
        <w:rPr>
          <w:sz w:val="24"/>
          <w:highlight w:val="none"/>
        </w:rPr>
        <w:t xml:space="preserve">投标文件的签署</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Pr>
          <w:sz w:val="24"/>
          <w:highlight w:val="none"/>
        </w:rPr>
        <w:t xml:space="preserve">、加盖公章</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389" w:name="_Toc150774739"/>
      <w:r/>
      <w:bookmarkStart w:id="390" w:name="_Toc150480772"/>
      <w:r/>
      <w:bookmarkStart w:id="391" w:name="_Toc127151534"/>
      <w:r/>
      <w:bookmarkStart w:id="392" w:name="_Toc151193704"/>
      <w:r/>
      <w:bookmarkStart w:id="393" w:name="_Toc265228372"/>
      <w:r/>
      <w:bookmarkStart w:id="394" w:name="_Toc151193922"/>
      <w:r/>
      <w:bookmarkStart w:id="395" w:name="_Toc195842899"/>
      <w:r/>
      <w:bookmarkStart w:id="396" w:name="_Toc520356159"/>
      <w:r/>
      <w:bookmarkStart w:id="397" w:name="_Toc151193632"/>
      <w:r/>
      <w:bookmarkStart w:id="398" w:name="_Toc305158876"/>
      <w:r/>
      <w:bookmarkStart w:id="399" w:name="_Toc305158802"/>
      <w:r/>
      <w:bookmarkStart w:id="400" w:name="_Toc226309778"/>
      <w:r/>
      <w:bookmarkStart w:id="401" w:name="_Toc151190161"/>
      <w:r/>
      <w:bookmarkStart w:id="402" w:name="_Toc226337230"/>
      <w:r/>
      <w:bookmarkStart w:id="403" w:name="_Toc151193848"/>
      <w:r/>
      <w:bookmarkStart w:id="404" w:name="_Toc151193776"/>
      <w:r/>
      <w:bookmarkStart w:id="405" w:name="_Toc150774634"/>
      <w:r/>
      <w:bookmarkStart w:id="406" w:name="_Toc226965724"/>
      <w:r/>
      <w:bookmarkStart w:id="407" w:name="_Toc142311036"/>
      <w:r/>
      <w:bookmarkStart w:id="408" w:name="_Toc150509285"/>
      <w:r/>
      <w:bookmarkStart w:id="409" w:name="_Toc226965807"/>
      <w:r/>
      <w:bookmarkStart w:id="410" w:name="_Toc264969224"/>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777"/>
        <w:ind w:left="357"/>
        <w:spacing w:line="360" w:lineRule="auto"/>
        <w:tabs>
          <w:tab w:val="left" w:pos="900" w:leader="none"/>
          <w:tab w:val="left" w:pos="1080" w:leader="none"/>
        </w:tabs>
        <w:rPr>
          <w:highlight w:val="none"/>
        </w:rPr>
      </w:pPr>
      <w:r>
        <w:rPr>
          <w:highlight w:val="none"/>
        </w:rPr>
      </w:r>
      <w:r/>
    </w:p>
    <w:p>
      <w:pPr>
        <w:pStyle w:val="779"/>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Pr>
          <w:rFonts w:ascii="Times New Roman" w:hAnsi="Times New Roman" w:eastAsia="宋体"/>
          <w:sz w:val="28"/>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Start w:id="411" w:name="_Toc151193923"/>
      <w:r/>
      <w:bookmarkStart w:id="412" w:name="_Toc150509286"/>
      <w:r/>
      <w:bookmarkStart w:id="413" w:name="_Toc151193849"/>
      <w:r/>
      <w:bookmarkStart w:id="414" w:name="_Toc164608649"/>
      <w:r/>
      <w:bookmarkStart w:id="415" w:name="_Toc305158877"/>
      <w:r/>
      <w:bookmarkStart w:id="416" w:name="_Toc127161449"/>
      <w:r/>
      <w:bookmarkStart w:id="417" w:name="_Toc151193705"/>
      <w:r/>
      <w:bookmarkStart w:id="418" w:name="_Toc226337231"/>
      <w:r/>
      <w:bookmarkStart w:id="419" w:name="_Toc264969225"/>
      <w:r/>
      <w:bookmarkStart w:id="420" w:name="_Toc305158803"/>
      <w:r/>
      <w:bookmarkStart w:id="421" w:name="_Toc127151736"/>
      <w:r/>
      <w:bookmarkStart w:id="422" w:name="_Toc164351629"/>
      <w:r/>
      <w:bookmarkStart w:id="423" w:name="_Toc226965725"/>
      <w:r/>
      <w:bookmarkStart w:id="424" w:name="_Toc164229376"/>
      <w:r/>
      <w:bookmarkStart w:id="425" w:name="_Toc150480773"/>
      <w:r/>
      <w:bookmarkStart w:id="426" w:name="_Toc226309779"/>
      <w:r/>
      <w:bookmarkStart w:id="427" w:name="_Toc151193777"/>
      <w:r/>
      <w:bookmarkStart w:id="428" w:name="_Toc195842900"/>
      <w:r/>
      <w:bookmarkStart w:id="429" w:name="_Toc164608804"/>
      <w:r/>
      <w:bookmarkStart w:id="430" w:name="_Toc149720828"/>
      <w:r/>
      <w:bookmarkStart w:id="431" w:name="_Toc127151535"/>
      <w:r/>
      <w:bookmarkStart w:id="432" w:name="_Toc151193633"/>
      <w:r/>
      <w:bookmarkStart w:id="433" w:name="_Toc150774635"/>
      <w:r/>
      <w:bookmarkStart w:id="434" w:name="_Toc265228373"/>
      <w:r/>
      <w:bookmarkStart w:id="435" w:name="_Toc142311037"/>
      <w:r/>
      <w:bookmarkStart w:id="436" w:name="_Toc164229230"/>
      <w:r/>
      <w:bookmarkStart w:id="437" w:name="_Toc226965808"/>
      <w:r/>
      <w:bookmarkStart w:id="438" w:name="_Toc150774740"/>
      <w:r/>
      <w:bookmarkStart w:id="439" w:name="_Toc151190162"/>
      <w:r/>
      <w:bookmarkStart w:id="440" w:name="_Toc520356160"/>
      <w:r>
        <w:rPr>
          <w:sz w:val="24"/>
          <w:highlight w:val="none"/>
        </w:rPr>
        <w:t xml:space="preserve">投标文件的</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Pr>
          <w:sz w:val="24"/>
          <w:highlight w:val="none"/>
        </w:rPr>
        <w:t xml:space="preserve">提交</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bidi="ar"/>
        </w:rPr>
        <w:t xml:space="preserve">政府采购一体化平台“苏采云”</w:t>
      </w:r>
      <w:r>
        <w:rPr>
          <w:sz w:val="24"/>
          <w:highlight w:val="none"/>
        </w:rPr>
        <w:t xml:space="preserve">。投标人根据招标文件及</w:t>
      </w:r>
      <w:r>
        <w:rPr>
          <w:rFonts w:hint="eastAsia"/>
          <w:sz w:val="24"/>
          <w:highlight w:val="none"/>
          <w:lang w:bidi="ar"/>
        </w:rPr>
        <w:t xml:space="preserve">政府采购一体化平台“苏采云”</w:t>
      </w:r>
      <w:r>
        <w:rPr>
          <w:sz w:val="24"/>
          <w:highlight w:val="none"/>
        </w:rPr>
        <w:t xml:space="preserve">供应商操作手册要求编制、生成并提交电子投标文件。</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政府采购一体化平台“苏采云”</w:t>
      </w:r>
      <w:r>
        <w:rPr>
          <w:sz w:val="24"/>
          <w:highlight w:val="none"/>
        </w:rPr>
        <w:t xml:space="preserve">以外任何形式提交的投标文件。</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Start w:id="441" w:name="_Toc164229377"/>
      <w:r/>
      <w:bookmarkStart w:id="442" w:name="_Toc305158878"/>
      <w:r/>
      <w:bookmarkStart w:id="443" w:name="_Toc151193706"/>
      <w:r/>
      <w:bookmarkStart w:id="444" w:name="_Toc150509287"/>
      <w:r/>
      <w:bookmarkStart w:id="445" w:name="_Toc127151737"/>
      <w:r/>
      <w:bookmarkStart w:id="446" w:name="_Toc226309780"/>
      <w:r/>
      <w:bookmarkStart w:id="447" w:name="_Toc195842901"/>
      <w:r/>
      <w:bookmarkStart w:id="448" w:name="_Toc150480774"/>
      <w:r/>
      <w:bookmarkStart w:id="449" w:name="_Toc264969226"/>
      <w:r/>
      <w:bookmarkStart w:id="450" w:name="_Toc151193924"/>
      <w:r/>
      <w:bookmarkStart w:id="451" w:name="_Toc520356161"/>
      <w:r/>
      <w:bookmarkStart w:id="452" w:name="_Toc164229231"/>
      <w:r/>
      <w:bookmarkStart w:id="453" w:name="_Toc151190163"/>
      <w:r/>
      <w:bookmarkStart w:id="454" w:name="_Toc164351630"/>
      <w:r/>
      <w:bookmarkStart w:id="455" w:name="_Toc164608805"/>
      <w:r/>
      <w:bookmarkStart w:id="456" w:name="_Toc265228374"/>
      <w:r/>
      <w:bookmarkStart w:id="457" w:name="_Toc151193778"/>
      <w:r/>
      <w:bookmarkStart w:id="458" w:name="_Toc151193634"/>
      <w:r/>
      <w:bookmarkStart w:id="459" w:name="_Toc150774741"/>
      <w:r/>
      <w:bookmarkStart w:id="460" w:name="_Toc305158804"/>
      <w:r/>
      <w:bookmarkStart w:id="461" w:name="_Toc127151536"/>
      <w:r/>
      <w:bookmarkStart w:id="462" w:name="_Toc142311038"/>
      <w:r/>
      <w:bookmarkStart w:id="463" w:name="_Toc164608650"/>
      <w:r/>
      <w:bookmarkStart w:id="464" w:name="_Toc150774636"/>
      <w:r/>
      <w:bookmarkStart w:id="465" w:name="_Toc226965726"/>
      <w:r/>
      <w:bookmarkStart w:id="466" w:name="_Toc226965809"/>
      <w:r/>
      <w:bookmarkStart w:id="467" w:name="_Toc127161450"/>
      <w:r/>
      <w:bookmarkStart w:id="468" w:name="_Toc226337232"/>
      <w:r/>
      <w:bookmarkStart w:id="469" w:name="_Toc151193850"/>
      <w:r/>
      <w:bookmarkStart w:id="470" w:name="_Toc149720829"/>
      <w:r>
        <w:rPr>
          <w:sz w:val="24"/>
          <w:highlight w:val="none"/>
        </w:rPr>
        <w:t xml:space="preserve">投标截止</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sz w:val="24"/>
          <w:highlight w:val="none"/>
        </w:rPr>
        <w:t xml:space="preserve">时间</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rPr>
        <w:t xml:space="preserve">政府采购一体化平台“苏采云”</w:t>
      </w:r>
      <w:r>
        <w:rPr>
          <w:sz w:val="24"/>
          <w:highlight w:val="none"/>
        </w:rPr>
        <w:t xml:space="preserve">。</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Start w:id="471" w:name="_Toc127151738"/>
      <w:r/>
      <w:bookmarkStart w:id="472" w:name="_Toc151193851"/>
      <w:r/>
      <w:bookmarkStart w:id="473" w:name="_Toc150774742"/>
      <w:r/>
      <w:bookmarkStart w:id="474" w:name="_Toc150509288"/>
      <w:r/>
      <w:bookmarkStart w:id="475" w:name="_Toc127161451"/>
      <w:r/>
      <w:bookmarkStart w:id="476" w:name="_Toc226309781"/>
      <w:r/>
      <w:bookmarkStart w:id="477" w:name="_Toc305158805"/>
      <w:r/>
      <w:bookmarkStart w:id="478" w:name="_Toc195842902"/>
      <w:r/>
      <w:bookmarkStart w:id="479" w:name="_Toc520356162"/>
      <w:r/>
      <w:bookmarkStart w:id="480" w:name="_Toc150480775"/>
      <w:r/>
      <w:bookmarkStart w:id="481" w:name="_Toc164229232"/>
      <w:r/>
      <w:bookmarkStart w:id="482" w:name="_Toc226965727"/>
      <w:r/>
      <w:bookmarkStart w:id="483" w:name="_Toc226337233"/>
      <w:r/>
      <w:bookmarkStart w:id="484" w:name="_Toc164351631"/>
      <w:r/>
      <w:bookmarkStart w:id="485" w:name="_Toc142311039"/>
      <w:r/>
      <w:bookmarkStart w:id="486" w:name="_Toc151193707"/>
      <w:r/>
      <w:bookmarkStart w:id="487" w:name="_Toc149720830"/>
      <w:r/>
      <w:bookmarkStart w:id="488" w:name="_Toc264969227"/>
      <w:r/>
      <w:bookmarkStart w:id="489" w:name="_Toc151193635"/>
      <w:r/>
      <w:bookmarkStart w:id="490" w:name="_Toc127151537"/>
      <w:r/>
      <w:bookmarkStart w:id="491" w:name="_Toc265228375"/>
      <w:r/>
      <w:bookmarkStart w:id="492" w:name="_Toc151190164"/>
      <w:r/>
      <w:bookmarkStart w:id="493" w:name="_Toc150774637"/>
      <w:r/>
      <w:bookmarkStart w:id="494" w:name="_Toc164229378"/>
      <w:r/>
      <w:bookmarkStart w:id="495" w:name="_Toc164608806"/>
      <w:r/>
      <w:bookmarkStart w:id="496" w:name="_Toc226965810"/>
      <w:r/>
      <w:bookmarkStart w:id="497" w:name="_Toc151193925"/>
      <w:r/>
      <w:bookmarkStart w:id="498" w:name="_Toc164608651"/>
      <w:r/>
      <w:bookmarkStart w:id="499" w:name="_Toc151193779"/>
      <w:r/>
      <w:bookmarkStart w:id="500" w:name="_Toc305158879"/>
      <w:r>
        <w:rPr>
          <w:sz w:val="24"/>
          <w:highlight w:val="none"/>
        </w:rPr>
        <w:t xml:space="preserve">投标文件的修改与撤回</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投标截止时间前，投标人可以通过</w:t>
      </w:r>
      <w:r>
        <w:rPr>
          <w:rFonts w:hint="eastAsia"/>
          <w:sz w:val="24"/>
          <w:highlight w:val="none"/>
        </w:rPr>
        <w:t xml:space="preserve">政府采购一体化平台“苏采云”</w:t>
      </w:r>
      <w:r>
        <w:rPr>
          <w:sz w:val="24"/>
          <w:highlight w:val="none"/>
        </w:rPr>
        <w:t xml:space="preserve">对所提交的投标文件进行补充、修改或者撤回。</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rPr>
          <w:sz w:val="24"/>
          <w:highlight w:val="none"/>
        </w:rPr>
      </w:r>
      <w:r/>
    </w:p>
    <w:p>
      <w:pPr>
        <w:pStyle w:val="777"/>
        <w:spacing w:line="360" w:lineRule="auto"/>
        <w:rPr>
          <w:sz w:val="24"/>
          <w:highlight w:val="none"/>
        </w:rPr>
      </w:pPr>
      <w:r>
        <w:rPr>
          <w:sz w:val="24"/>
          <w:highlight w:val="none"/>
        </w:rPr>
      </w:r>
      <w:r/>
    </w:p>
    <w:p>
      <w:pPr>
        <w:pStyle w:val="779"/>
        <w:spacing w:before="0" w:line="360" w:lineRule="auto"/>
        <w:rPr>
          <w:rFonts w:ascii="Times New Roman" w:hAnsi="Times New Roman" w:eastAsia="宋体"/>
          <w:sz w:val="28"/>
          <w:highlight w:val="none"/>
        </w:rPr>
      </w:pPr>
      <w:r/>
      <w:bookmarkStart w:id="501" w:name="_Toc150774638"/>
      <w:r/>
      <w:bookmarkStart w:id="502" w:name="_Toc226965728"/>
      <w:r/>
      <w:bookmarkStart w:id="503" w:name="_Toc151193852"/>
      <w:r/>
      <w:bookmarkStart w:id="504" w:name="_Toc265228376"/>
      <w:r/>
      <w:bookmarkStart w:id="505" w:name="_Toc305158806"/>
      <w:r/>
      <w:bookmarkStart w:id="506" w:name="_Toc226309782"/>
      <w:r/>
      <w:bookmarkStart w:id="507" w:name="_Toc151193926"/>
      <w:r/>
      <w:bookmarkStart w:id="508" w:name="_Toc150509289"/>
      <w:r/>
      <w:bookmarkStart w:id="509" w:name="_Toc142311040"/>
      <w:r/>
      <w:bookmarkStart w:id="510" w:name="_Toc305158880"/>
      <w:r/>
      <w:bookmarkStart w:id="511" w:name="_Toc226337234"/>
      <w:r/>
      <w:bookmarkStart w:id="512" w:name="_Toc151193636"/>
      <w:r/>
      <w:bookmarkStart w:id="513" w:name="_Toc520356163"/>
      <w:r/>
      <w:bookmarkStart w:id="514" w:name="_Toc195842903"/>
      <w:r/>
      <w:bookmarkStart w:id="515" w:name="_Toc127151538"/>
      <w:r/>
      <w:bookmarkStart w:id="516" w:name="_Toc150480776"/>
      <w:r/>
      <w:bookmarkStart w:id="517" w:name="_Toc226965811"/>
      <w:r/>
      <w:bookmarkStart w:id="518" w:name="_Toc151193708"/>
      <w:r/>
      <w:bookmarkStart w:id="519" w:name="_Toc150774743"/>
      <w:r/>
      <w:bookmarkStart w:id="520" w:name="_Toc151190165"/>
      <w:r/>
      <w:bookmarkStart w:id="521" w:name="_Toc264969228"/>
      <w:r/>
      <w:bookmarkStart w:id="522" w:name="_Toc151193780"/>
      <w:r>
        <w:rPr>
          <w:rFonts w:ascii="Times New Roman" w:hAnsi="Times New Roman" w:eastAsia="宋体"/>
          <w:sz w:val="28"/>
          <w:highlight w:val="none"/>
        </w:rPr>
        <w:t xml:space="preserve">五   开标、资格审查及评标</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ascii="Times New Roman" w:hAnsi="Times New Roman" w:eastAsia="宋体"/>
          <w:sz w:val="28"/>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Start w:id="523" w:name="_Toc226965812"/>
      <w:r/>
      <w:bookmarkStart w:id="524" w:name="_Toc150480777"/>
      <w:r/>
      <w:bookmarkStart w:id="525" w:name="_Toc305158807"/>
      <w:r/>
      <w:bookmarkStart w:id="526" w:name="_Toc226965729"/>
      <w:r/>
      <w:bookmarkStart w:id="527" w:name="_Toc151193709"/>
      <w:r/>
      <w:bookmarkStart w:id="528" w:name="_Toc164608653"/>
      <w:r/>
      <w:bookmarkStart w:id="529" w:name="_Toc151193781"/>
      <w:r/>
      <w:bookmarkStart w:id="530" w:name="_Toc264969229"/>
      <w:r/>
      <w:bookmarkStart w:id="531" w:name="_Toc151193853"/>
      <w:r/>
      <w:bookmarkStart w:id="532" w:name="_Toc151193927"/>
      <w:r/>
      <w:bookmarkStart w:id="533" w:name="_Toc164351633"/>
      <w:r/>
      <w:bookmarkStart w:id="534" w:name="_Toc226337235"/>
      <w:r/>
      <w:bookmarkStart w:id="535" w:name="_Toc142311041"/>
      <w:r/>
      <w:bookmarkStart w:id="536" w:name="_Toc226309783"/>
      <w:r/>
      <w:bookmarkStart w:id="537" w:name="_Toc164229380"/>
      <w:r/>
      <w:bookmarkStart w:id="538" w:name="_Toc164229234"/>
      <w:r/>
      <w:bookmarkStart w:id="539" w:name="_Toc195842904"/>
      <w:r/>
      <w:bookmarkStart w:id="540" w:name="_Toc127151539"/>
      <w:r/>
      <w:bookmarkStart w:id="541" w:name="_Toc127151740"/>
      <w:r/>
      <w:bookmarkStart w:id="542" w:name="_Toc151193637"/>
      <w:r/>
      <w:bookmarkStart w:id="543" w:name="_Toc305158881"/>
      <w:r/>
      <w:bookmarkStart w:id="544" w:name="_Toc520356164"/>
      <w:r/>
      <w:bookmarkStart w:id="545" w:name="_Toc151190166"/>
      <w:r/>
      <w:bookmarkStart w:id="546" w:name="_Toc149720832"/>
      <w:r/>
      <w:bookmarkStart w:id="547" w:name="_Toc127161453"/>
      <w:r/>
      <w:bookmarkStart w:id="548" w:name="_Toc150774744"/>
      <w:r/>
      <w:bookmarkStart w:id="549" w:name="_Toc150509290"/>
      <w:r/>
      <w:bookmarkStart w:id="550" w:name="_Toc265228377"/>
      <w:r/>
      <w:bookmarkStart w:id="551" w:name="_Toc150774639"/>
      <w:r/>
      <w:bookmarkStart w:id="552" w:name="_Toc164608808"/>
      <w:r>
        <w:rPr>
          <w:sz w:val="24"/>
          <w:highlight w:val="none"/>
        </w:rPr>
        <w:t xml:space="preserve">开标</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rPr>
        <w:t xml:space="preserve">政府采购一体化平台“苏采云”在线进行开标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开标过程将使用</w:t>
      </w:r>
      <w:r>
        <w:rPr>
          <w:rFonts w:hint="eastAsia"/>
          <w:sz w:val="24"/>
          <w:highlight w:val="none"/>
        </w:rPr>
        <w:t xml:space="preserve">政府采购一体化平台“苏采云”公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53" w:name="_Toc520356165"/>
      <w:r>
        <w:rPr>
          <w:rFonts w:hint="eastAsia"/>
          <w:sz w:val="24"/>
          <w:highlight w:val="none"/>
        </w:rPr>
        <w:t xml:space="preserve">。投标人超过规定时间未确认但是未提出疑义的，系统将视同已确认</w:t>
      </w:r>
      <w:r>
        <w:rPr>
          <w:sz w:val="24"/>
          <w:highlight w:val="none"/>
        </w:rPr>
        <w:t xml:space="preserve">。</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投标人不足3家的，不予开标。</w:t>
      </w:r>
      <w:r>
        <w:rPr>
          <w:rFonts w:hint="eastAsia"/>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rPr>
          <w:rFonts w:hint="eastAsia"/>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777"/>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777"/>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777"/>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777"/>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777"/>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资格审查</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见第三章《资格审查》。</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End w:id="553"/>
      <w:r/>
      <w:bookmarkStart w:id="554" w:name="_Toc150509291"/>
      <w:r/>
      <w:bookmarkStart w:id="555" w:name="_Toc151193638"/>
      <w:r/>
      <w:bookmarkStart w:id="556" w:name="_Toc305158882"/>
      <w:r/>
      <w:bookmarkStart w:id="557" w:name="_Toc151193710"/>
      <w:r/>
      <w:bookmarkStart w:id="558" w:name="_Toc151193928"/>
      <w:r/>
      <w:bookmarkStart w:id="559" w:name="_Toc127161454"/>
      <w:r/>
      <w:bookmarkStart w:id="560" w:name="_Toc164608809"/>
      <w:r/>
      <w:bookmarkStart w:id="561" w:name="_Toc127151741"/>
      <w:r/>
      <w:bookmarkStart w:id="562" w:name="_Toc150480778"/>
      <w:r/>
      <w:bookmarkStart w:id="563" w:name="_Toc142311042"/>
      <w:r/>
      <w:bookmarkStart w:id="564" w:name="_Toc226965730"/>
      <w:r/>
      <w:bookmarkStart w:id="565" w:name="_Toc265228378"/>
      <w:r/>
      <w:bookmarkStart w:id="566" w:name="_Toc150774745"/>
      <w:r/>
      <w:bookmarkStart w:id="567" w:name="_Toc164351634"/>
      <w:r/>
      <w:bookmarkStart w:id="568" w:name="_Toc226337236"/>
      <w:r/>
      <w:bookmarkStart w:id="569" w:name="_Toc164608654"/>
      <w:r/>
      <w:bookmarkStart w:id="570" w:name="_Toc264969230"/>
      <w:r/>
      <w:bookmarkStart w:id="571" w:name="_Toc195842905"/>
      <w:r/>
      <w:bookmarkStart w:id="572" w:name="_Toc150774640"/>
      <w:r/>
      <w:bookmarkStart w:id="573" w:name="_Toc164229235"/>
      <w:r/>
      <w:bookmarkStart w:id="574" w:name="_Toc226309784"/>
      <w:r/>
      <w:bookmarkStart w:id="575" w:name="_Toc149720833"/>
      <w:r/>
      <w:bookmarkStart w:id="576" w:name="_Toc151193782"/>
      <w:r/>
      <w:bookmarkStart w:id="577" w:name="_Toc164229381"/>
      <w:r/>
      <w:bookmarkStart w:id="578" w:name="_Toc151193854"/>
      <w:r/>
      <w:bookmarkStart w:id="579" w:name="_Toc127151540"/>
      <w:r/>
      <w:bookmarkStart w:id="580" w:name="_Toc305158808"/>
      <w:r/>
      <w:bookmarkStart w:id="581" w:name="_Toc226965813"/>
      <w:r/>
      <w:bookmarkStart w:id="582" w:name="_Toc151190167"/>
      <w:r>
        <w:rPr>
          <w:sz w:val="24"/>
          <w:highlight w:val="none"/>
        </w:rPr>
        <w:t xml:space="preserve">评标委员会</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83" w:name="_Toc520356166"/>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83"/>
      <w:r/>
      <w:bookmarkStart w:id="584" w:name="_Toc520356169"/>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评标程序、评标方法和评标标准</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见第四章《评标程序、评标方法和评标标准》。</w:t>
      </w:r>
      <w:r>
        <w:rPr>
          <w:sz w:val="24"/>
          <w:highlight w:val="none"/>
        </w:rPr>
      </w:r>
      <w:r/>
    </w:p>
    <w:p>
      <w:pPr>
        <w:pStyle w:val="777"/>
        <w:ind w:left="1080"/>
        <w:spacing w:line="360" w:lineRule="auto"/>
        <w:tabs>
          <w:tab w:val="left" w:pos="360" w:leader="none"/>
          <w:tab w:val="left" w:pos="1080" w:leader="none"/>
        </w:tabs>
        <w:rPr>
          <w:sz w:val="24"/>
          <w:highlight w:val="none"/>
        </w:rPr>
      </w:pPr>
      <w:r>
        <w:rPr>
          <w:sz w:val="24"/>
          <w:highlight w:val="none"/>
        </w:rPr>
      </w:r>
      <w:r/>
    </w:p>
    <w:p>
      <w:pPr>
        <w:pStyle w:val="779"/>
        <w:spacing w:before="0" w:line="360" w:lineRule="auto"/>
        <w:rPr>
          <w:rFonts w:ascii="Times New Roman" w:hAnsi="Times New Roman" w:eastAsia="宋体"/>
          <w:sz w:val="28"/>
          <w:highlight w:val="none"/>
        </w:rPr>
      </w:pPr>
      <w:r/>
      <w:bookmarkStart w:id="585" w:name="_Toc226965818"/>
      <w:r/>
      <w:bookmarkStart w:id="586" w:name="_Toc150509296"/>
      <w:r/>
      <w:bookmarkStart w:id="587" w:name="_Toc226309789"/>
      <w:r/>
      <w:bookmarkStart w:id="588" w:name="_Toc151193643"/>
      <w:r/>
      <w:bookmarkStart w:id="589" w:name="_Toc305158887"/>
      <w:r/>
      <w:bookmarkStart w:id="590" w:name="_Toc142311047"/>
      <w:r/>
      <w:bookmarkStart w:id="591" w:name="_Toc151193715"/>
      <w:r/>
      <w:bookmarkStart w:id="592" w:name="_Toc150774750"/>
      <w:r/>
      <w:bookmarkStart w:id="593" w:name="_Toc127151545"/>
      <w:r/>
      <w:bookmarkStart w:id="594" w:name="_Toc226965735"/>
      <w:r/>
      <w:bookmarkStart w:id="595" w:name="_Toc151193859"/>
      <w:r/>
      <w:bookmarkStart w:id="596" w:name="_Toc265228383"/>
      <w:r/>
      <w:bookmarkStart w:id="597" w:name="_Toc150480783"/>
      <w:r/>
      <w:bookmarkStart w:id="598" w:name="_Toc264969235"/>
      <w:r/>
      <w:bookmarkStart w:id="599" w:name="_Toc151190172"/>
      <w:r/>
      <w:bookmarkStart w:id="600" w:name="_Toc151193787"/>
      <w:r/>
      <w:bookmarkStart w:id="601" w:name="_Toc305158813"/>
      <w:r/>
      <w:bookmarkStart w:id="602" w:name="_Toc226337241"/>
      <w:r/>
      <w:bookmarkStart w:id="603" w:name="_Toc150774645"/>
      <w:r/>
      <w:bookmarkStart w:id="604" w:name="_Toc151193933"/>
      <w:r/>
      <w:bookmarkStart w:id="605" w:name="_Toc195842910"/>
      <w:r>
        <w:rPr>
          <w:rFonts w:ascii="Times New Roman" w:hAnsi="Times New Roman" w:eastAsia="宋体"/>
          <w:sz w:val="28"/>
          <w:highlight w:val="none"/>
        </w:rPr>
        <w:t xml:space="preserve">六   </w:t>
      </w:r>
      <w:bookmarkEnd w:id="584"/>
      <w:r>
        <w:rPr>
          <w:rFonts w:ascii="Times New Roman" w:hAnsi="Times New Roman" w:eastAsia="宋体"/>
          <w:sz w:val="28"/>
          <w:highlight w:val="none"/>
        </w:rPr>
        <w:t xml:space="preserve">确定中标</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Start w:id="606" w:name="_Toc150480785"/>
      <w:r/>
      <w:bookmarkStart w:id="607" w:name="_Toc226965820"/>
      <w:r/>
      <w:bookmarkStart w:id="608" w:name="_Toc164229242"/>
      <w:r/>
      <w:bookmarkStart w:id="609" w:name="_Toc164608816"/>
      <w:r/>
      <w:bookmarkStart w:id="610" w:name="_Toc151193935"/>
      <w:r/>
      <w:bookmarkStart w:id="611" w:name="_Toc149720840"/>
      <w:r/>
      <w:bookmarkStart w:id="612" w:name="_Toc151190174"/>
      <w:r/>
      <w:bookmarkStart w:id="613" w:name="_Toc164351641"/>
      <w:r/>
      <w:bookmarkStart w:id="614" w:name="_Toc151193717"/>
      <w:r/>
      <w:bookmarkStart w:id="615" w:name="_Toc226337243"/>
      <w:r/>
      <w:bookmarkStart w:id="616" w:name="_Toc127151547"/>
      <w:r/>
      <w:bookmarkStart w:id="617" w:name="_Toc127161461"/>
      <w:r/>
      <w:bookmarkStart w:id="618" w:name="_Toc150774752"/>
      <w:r/>
      <w:bookmarkStart w:id="619" w:name="_Toc150774647"/>
      <w:r/>
      <w:bookmarkStart w:id="620" w:name="_Toc151193861"/>
      <w:r/>
      <w:bookmarkStart w:id="621" w:name="_Toc150509298"/>
      <w:r/>
      <w:bookmarkStart w:id="622" w:name="_Toc151193645"/>
      <w:r/>
      <w:bookmarkStart w:id="623" w:name="_Toc164229388"/>
      <w:r/>
      <w:bookmarkStart w:id="624" w:name="_Toc226965737"/>
      <w:r/>
      <w:bookmarkStart w:id="625" w:name="_Toc264969237"/>
      <w:r/>
      <w:bookmarkStart w:id="626" w:name="_Toc151193789"/>
      <w:r/>
      <w:bookmarkStart w:id="627" w:name="_Toc305158815"/>
      <w:r/>
      <w:bookmarkStart w:id="628" w:name="_Toc127151748"/>
      <w:r/>
      <w:bookmarkStart w:id="629" w:name="_Toc265228385"/>
      <w:r/>
      <w:bookmarkStart w:id="630" w:name="_Toc195842912"/>
      <w:r/>
      <w:bookmarkStart w:id="631" w:name="_Toc164608661"/>
      <w:r/>
      <w:bookmarkStart w:id="632" w:name="_Toc305158889"/>
      <w:r/>
      <w:bookmarkStart w:id="633" w:name="_Toc226309791"/>
      <w:r/>
      <w:bookmarkStart w:id="634" w:name="_Toc142311049"/>
      <w:r>
        <w:rPr>
          <w:rFonts w:ascii="Times New Roman" w:hAnsi="Times New Roman" w:eastAsia="宋体"/>
          <w:sz w:val="28"/>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确定中标人</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Start w:id="635" w:name="_Toc151190176"/>
      <w:r/>
      <w:bookmarkStart w:id="636" w:name="_Toc142311051"/>
      <w:r/>
      <w:bookmarkStart w:id="637" w:name="_Toc150774649"/>
      <w:r/>
      <w:bookmarkStart w:id="638" w:name="_Toc305158817"/>
      <w:r/>
      <w:bookmarkStart w:id="639" w:name="_Toc264969239"/>
      <w:r/>
      <w:bookmarkStart w:id="640" w:name="_Toc226965739"/>
      <w:r/>
      <w:bookmarkStart w:id="641" w:name="_Toc226337245"/>
      <w:r/>
      <w:bookmarkStart w:id="642" w:name="_Toc150509300"/>
      <w:r/>
      <w:bookmarkStart w:id="643" w:name="_Ref467306425"/>
      <w:r/>
      <w:bookmarkStart w:id="644" w:name="_Ref467307090"/>
      <w:r/>
      <w:bookmarkStart w:id="645" w:name="_Toc520356176"/>
      <w:r/>
      <w:bookmarkStart w:id="646" w:name="_Toc150774754"/>
      <w:r/>
      <w:bookmarkStart w:id="647" w:name="_Toc150480787"/>
      <w:r/>
      <w:bookmarkStart w:id="648" w:name="_Toc127161463"/>
      <w:r/>
      <w:bookmarkStart w:id="649" w:name="_Toc164608663"/>
      <w:r/>
      <w:bookmarkStart w:id="650" w:name="_Toc164608818"/>
      <w:r/>
      <w:bookmarkStart w:id="651" w:name="_Toc151193719"/>
      <w:r/>
      <w:bookmarkStart w:id="652" w:name="_Toc305158891"/>
      <w:r/>
      <w:bookmarkStart w:id="653" w:name="_Toc149720842"/>
      <w:r/>
      <w:bookmarkStart w:id="654" w:name="_Toc164351643"/>
      <w:r/>
      <w:bookmarkStart w:id="655" w:name="_Toc151193647"/>
      <w:r/>
      <w:bookmarkStart w:id="656" w:name="_Toc151193937"/>
      <w:r/>
      <w:bookmarkStart w:id="657" w:name="_Toc127151549"/>
      <w:r/>
      <w:bookmarkStart w:id="658" w:name="_Toc164229244"/>
      <w:r/>
      <w:bookmarkStart w:id="659" w:name="_Toc151193863"/>
      <w:r/>
      <w:bookmarkStart w:id="660" w:name="_Toc195842914"/>
      <w:r/>
      <w:bookmarkStart w:id="661" w:name="_Toc265228387"/>
      <w:r/>
      <w:bookmarkStart w:id="662" w:name="_Toc226965822"/>
      <w:r/>
      <w:bookmarkStart w:id="663" w:name="_Toc127151750"/>
      <w:r/>
      <w:bookmarkStart w:id="664" w:name="_Toc164229390"/>
      <w:r/>
      <w:bookmarkStart w:id="665" w:name="_Toc226309793"/>
      <w:r/>
      <w:bookmarkStart w:id="666" w:name="_Toc151193791"/>
      <w:r>
        <w:rPr>
          <w:sz w:val="24"/>
          <w:highlight w:val="none"/>
        </w:rPr>
        <w:t xml:space="preserve">中标公告与中标通知书</w:t>
      </w:r>
      <w:bookmarkEnd w:id="638"/>
      <w:r/>
      <w:bookmarkEnd w:id="652"/>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废标</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在招标采购中，出现下列情形之一的，应予废标：</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符合专业条件的供应商或者对招标文件作实质响应的供应商不足三家的；</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投标人的报价均超过了采购预算，采购人不能支付的；</w:t>
      </w:r>
      <w:r>
        <w:rPr>
          <w:sz w:val="24"/>
          <w:highlight w:val="none"/>
        </w:rPr>
      </w:r>
      <w:r/>
    </w:p>
    <w:p>
      <w:pPr>
        <w:pStyle w:val="777"/>
        <w:numPr>
          <w:ilvl w:val="2"/>
          <w:numId w:val="8"/>
        </w:numPr>
        <w:spacing w:line="360" w:lineRule="auto"/>
        <w:tabs>
          <w:tab w:val="left" w:pos="1980" w:leader="none"/>
        </w:tabs>
        <w:rPr>
          <w:rFonts w:hint="eastAsia"/>
          <w:sz w:val="24"/>
          <w:highlight w:val="none"/>
        </w:rPr>
      </w:pPr>
      <w:r>
        <w:rPr>
          <w:sz w:val="24"/>
          <w:highlight w:val="none"/>
        </w:rPr>
        <w:t xml:space="preserve">因重大变故，采购任务取消的。</w:t>
      </w:r>
      <w:r>
        <w:rPr>
          <w:rFonts w:hint="eastAsia"/>
          <w:sz w:val="24"/>
          <w:highlight w:val="none"/>
        </w:rPr>
      </w:r>
      <w:r/>
    </w:p>
    <w:p>
      <w:pPr>
        <w:pStyle w:val="777"/>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废标后，采购人将废标理由通知所有投标人。</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End w:id="635"/>
      <w:r/>
      <w:bookmarkEnd w:id="636"/>
      <w:r/>
      <w:bookmarkEnd w:id="637"/>
      <w:r/>
      <w:bookmarkEnd w:id="639"/>
      <w:r/>
      <w:bookmarkEnd w:id="640"/>
      <w:r/>
      <w:bookmarkEnd w:id="641"/>
      <w:r/>
      <w:bookmarkEnd w:id="642"/>
      <w:r/>
      <w:bookmarkEnd w:id="646"/>
      <w:r/>
      <w:bookmarkEnd w:id="647"/>
      <w:r/>
      <w:bookmarkEnd w:id="648"/>
      <w:r/>
      <w:bookmarkEnd w:id="649"/>
      <w:r/>
      <w:bookmarkEnd w:id="650"/>
      <w:r/>
      <w:bookmarkEnd w:id="651"/>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Start w:id="667" w:name="_Ref467307062"/>
      <w:r/>
      <w:bookmarkStart w:id="668" w:name="_Toc149720843"/>
      <w:r/>
      <w:bookmarkStart w:id="669" w:name="_Toc164229391"/>
      <w:r/>
      <w:bookmarkStart w:id="670" w:name="_Toc305158818"/>
      <w:r/>
      <w:bookmarkStart w:id="671" w:name="_Toc150774755"/>
      <w:r/>
      <w:bookmarkStart w:id="672" w:name="_Toc265228388"/>
      <w:r/>
      <w:bookmarkStart w:id="673" w:name="_Toc150774650"/>
      <w:r/>
      <w:bookmarkStart w:id="674" w:name="_Toc164229245"/>
      <w:r/>
      <w:bookmarkStart w:id="675" w:name="_Toc151193648"/>
      <w:r/>
      <w:bookmarkStart w:id="676" w:name="_Ref467306377"/>
      <w:r/>
      <w:bookmarkStart w:id="677" w:name="_Toc150509301"/>
      <w:r/>
      <w:bookmarkStart w:id="678" w:name="_Toc264969240"/>
      <w:r/>
      <w:bookmarkStart w:id="679" w:name="_Toc151193938"/>
      <w:r/>
      <w:bookmarkStart w:id="680" w:name="_Toc226965823"/>
      <w:r/>
      <w:bookmarkStart w:id="681" w:name="_Toc151193720"/>
      <w:r/>
      <w:bookmarkStart w:id="682" w:name="_Toc150480788"/>
      <w:r/>
      <w:bookmarkStart w:id="683" w:name="_Toc164351644"/>
      <w:r/>
      <w:bookmarkStart w:id="684" w:name="_Toc195842915"/>
      <w:r/>
      <w:bookmarkStart w:id="685" w:name="_Toc520356175"/>
      <w:r/>
      <w:bookmarkStart w:id="686" w:name="_Toc164608819"/>
      <w:r/>
      <w:bookmarkStart w:id="687" w:name="_Toc164608664"/>
      <w:r/>
      <w:bookmarkStart w:id="688" w:name="_Toc151193864"/>
      <w:r/>
      <w:bookmarkStart w:id="689" w:name="_Toc127151550"/>
      <w:r/>
      <w:bookmarkStart w:id="690" w:name="_Toc151193792"/>
      <w:r/>
      <w:bookmarkStart w:id="691" w:name="_Toc127161464"/>
      <w:r/>
      <w:bookmarkStart w:id="692" w:name="_Toc226309794"/>
      <w:r/>
      <w:bookmarkStart w:id="693" w:name="_Ref467307204"/>
      <w:r/>
      <w:bookmarkStart w:id="694" w:name="_Toc151190177"/>
      <w:r/>
      <w:bookmarkStart w:id="695" w:name="_Toc305158892"/>
      <w:r/>
      <w:bookmarkStart w:id="696" w:name="_Ref467306978"/>
      <w:r/>
      <w:bookmarkStart w:id="697" w:name="_Toc142311052"/>
      <w:r/>
      <w:bookmarkStart w:id="698" w:name="_Toc127151751"/>
      <w:r/>
      <w:bookmarkStart w:id="699" w:name="_Toc226965740"/>
      <w:r/>
      <w:bookmarkStart w:id="700" w:name="_Toc226337246"/>
      <w:r>
        <w:rPr>
          <w:sz w:val="24"/>
          <w:highlight w:val="none"/>
        </w:rPr>
        <w:t xml:space="preserve">签订合同</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bookmarkEnd w:id="643"/>
      <w:r/>
      <w:bookmarkEnd w:id="644"/>
      <w:r/>
      <w:bookmarkEnd w:id="645"/>
      <w:r>
        <w:rPr>
          <w:sz w:val="24"/>
          <w:highlight w:val="none"/>
        </w:rPr>
        <w:t xml:space="preserve">询问与质疑</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投标人对政府采购活动事项有疑问的，可依法提出询问，并按《投标人须知资料表》载明的形式送达采购人或采购代理机构。</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777"/>
        <w:numPr>
          <w:ilvl w:val="2"/>
          <w:numId w:val="8"/>
        </w:numPr>
        <w:spacing w:line="360" w:lineRule="auto"/>
        <w:tabs>
          <w:tab w:val="left" w:pos="1980" w:leader="none"/>
        </w:tabs>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highlight w:val="none"/>
        </w:rPr>
      </w:r>
      <w:r/>
    </w:p>
    <w:p>
      <w:pPr>
        <w:pStyle w:val="777"/>
        <w:numPr>
          <w:ilvl w:val="2"/>
          <w:numId w:val="8"/>
        </w:numPr>
        <w:spacing w:line="360" w:lineRule="auto"/>
        <w:tabs>
          <w:tab w:val="left" w:pos="1980" w:leader="none"/>
        </w:tabs>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853"/>
          <w:highlight w:val="none"/>
        </w:rPr>
        <w:t xml:space="preserve">http://gk</w:t>
      </w:r>
      <w:bookmarkStart w:id="701" w:name="_Hlt100654014"/>
      <w:r>
        <w:rPr>
          <w:rStyle w:val="853"/>
          <w:highlight w:val="none"/>
        </w:rPr>
        <w:t xml:space="preserve">s</w:t>
      </w:r>
      <w:bookmarkEnd w:id="701"/>
      <w:r>
        <w:rPr>
          <w:rStyle w:val="853"/>
          <w:highlight w:val="none"/>
        </w:rPr>
        <w:t xml:space="preserve">.m</w:t>
      </w:r>
      <w:bookmarkStart w:id="702" w:name="_Hlt100653993"/>
      <w:r/>
      <w:bookmarkStart w:id="703" w:name="_Hlt100653994"/>
      <w:r>
        <w:rPr>
          <w:rStyle w:val="853"/>
          <w:highlight w:val="none"/>
        </w:rPr>
        <w:t xml:space="preserve">o</w:t>
      </w:r>
      <w:bookmarkEnd w:id="702"/>
      <w:r/>
      <w:bookmarkEnd w:id="703"/>
      <w:r>
        <w:rPr>
          <w:rStyle w:val="853"/>
          <w:highlight w:val="none"/>
        </w:rPr>
        <w:t xml:space="preserve">f.gov.cn/ztztz/zhengfucaigouguanli/201802/t20180201_2804589.htm</w:t>
      </w:r>
      <w:r>
        <w:rPr>
          <w:highlight w:val="none"/>
        </w:rPr>
        <w:fldChar w:fldCharType="end"/>
      </w:r>
      <w:r>
        <w:rPr>
          <w:rFonts w:hint="eastAsia"/>
          <w:highlight w:val="none"/>
        </w:rPr>
        <w:t xml:space="preserve">）</w:t>
      </w:r>
      <w:r>
        <w:rPr>
          <w:sz w:val="24"/>
          <w:highlight w:val="none"/>
        </w:rPr>
      </w:r>
      <w:r/>
    </w:p>
    <w:p>
      <w:pPr>
        <w:pStyle w:val="777"/>
        <w:numPr>
          <w:ilvl w:val="2"/>
          <w:numId w:val="8"/>
        </w:numPr>
        <w:spacing w:line="360" w:lineRule="auto"/>
        <w:tabs>
          <w:tab w:val="left" w:pos="1980" w:leader="none"/>
        </w:tabs>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rPr>
          <w:sz w:val="24"/>
          <w:highlight w:val="none"/>
        </w:rPr>
      </w:r>
      <w:r/>
    </w:p>
    <w:p>
      <w:pPr>
        <w:pStyle w:val="777"/>
        <w:numPr>
          <w:ilvl w:val="2"/>
          <w:numId w:val="8"/>
        </w:numPr>
        <w:spacing w:line="360" w:lineRule="auto"/>
        <w:tabs>
          <w:tab w:val="left" w:pos="1980" w:leader="none"/>
        </w:tabs>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rPr>
          <w:sz w:val="24"/>
          <w:highlight w:val="none"/>
        </w:rPr>
      </w:r>
      <w:r/>
    </w:p>
    <w:p>
      <w:pPr>
        <w:pStyle w:val="777"/>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777"/>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rPr>
          <w:sz w:val="24"/>
          <w:highlight w:val="none"/>
        </w:rPr>
      </w:r>
      <w:r/>
    </w:p>
    <w:p>
      <w:pPr>
        <w:pStyle w:val="777"/>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rPr>
          <w:sz w:val="24"/>
          <w:highlight w:val="none"/>
        </w:rPr>
      </w:r>
      <w:r/>
    </w:p>
    <w:p>
      <w:pPr>
        <w:pStyle w:val="777"/>
        <w:ind w:left="360"/>
        <w:spacing w:line="360" w:lineRule="auto"/>
        <w:tabs>
          <w:tab w:val="left" w:pos="360" w:leader="none"/>
          <w:tab w:val="left" w:pos="1080" w:leader="none"/>
        </w:tabs>
        <w:rPr>
          <w:sz w:val="24"/>
          <w:highlight w:val="none"/>
        </w:rPr>
      </w:pPr>
      <w:r>
        <w:rPr>
          <w:sz w:val="24"/>
          <w:highlight w:val="none"/>
        </w:rPr>
      </w:r>
      <w:r/>
    </w:p>
    <w:p>
      <w:pPr>
        <w:pStyle w:val="777"/>
        <w:jc w:val="center"/>
        <w:spacing w:line="360" w:lineRule="auto"/>
        <w:rPr>
          <w:b/>
          <w:sz w:val="36"/>
          <w:szCs w:val="36"/>
          <w:highlight w:val="none"/>
        </w:rPr>
        <w:outlineLvl w:val="0"/>
      </w:pPr>
      <w:r/>
      <w:bookmarkStart w:id="704" w:name="_Toc265228392"/>
      <w:r/>
      <w:bookmarkStart w:id="705" w:name="_Toc305158896"/>
      <w:r/>
      <w:bookmarkStart w:id="706" w:name="_Toc142311056"/>
      <w:r/>
      <w:bookmarkStart w:id="707" w:name="_Toc150774759"/>
      <w:r/>
      <w:bookmarkStart w:id="708" w:name="_Toc226965827"/>
      <w:r/>
      <w:bookmarkStart w:id="709" w:name="_Toc353825544"/>
      <w:r/>
      <w:bookmarkStart w:id="710" w:name="_Toc353873934"/>
      <w:r/>
      <w:bookmarkStart w:id="711" w:name="_Toc127151554"/>
      <w:r/>
      <w:bookmarkStart w:id="712" w:name="_Toc305158822"/>
      <w:r/>
      <w:bookmarkStart w:id="713" w:name="_Toc150480792"/>
      <w:r/>
      <w:bookmarkStart w:id="714" w:name="_Toc226337250"/>
      <w:r/>
      <w:bookmarkStart w:id="715" w:name="_Toc264969244"/>
      <w:r/>
      <w:bookmarkStart w:id="716" w:name="_Toc353873664"/>
      <w:r>
        <w:rPr>
          <w:sz w:val="24"/>
          <w:highlight w:val="none"/>
        </w:rPr>
        <w:br w:type="page" w:clear="all"/>
      </w:r>
      <w:bookmarkStart w:id="717" w:name="_Toc99301421"/>
      <w:r>
        <w:rPr>
          <w:b/>
          <w:sz w:val="36"/>
          <w:szCs w:val="36"/>
          <w:highlight w:val="none"/>
        </w:rPr>
        <w:t xml:space="preserve">第三章   </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Pr>
          <w:b/>
          <w:sz w:val="36"/>
          <w:szCs w:val="36"/>
          <w:highlight w:val="none"/>
        </w:rPr>
        <w:t xml:space="preserve">资格审查</w:t>
      </w:r>
      <w:bookmarkEnd w:id="717"/>
      <w:r/>
      <w:bookmarkStart w:id="718" w:name="_Toc487900382"/>
      <w:r>
        <w:rPr>
          <w:b/>
          <w:sz w:val="36"/>
          <w:szCs w:val="36"/>
          <w:highlight w:val="none"/>
        </w:rPr>
      </w:r>
      <w:r/>
    </w:p>
    <w:p>
      <w:pPr>
        <w:pStyle w:val="777"/>
        <w:jc w:val="center"/>
        <w:spacing w:line="360" w:lineRule="auto"/>
        <w:tabs>
          <w:tab w:val="left" w:pos="360" w:leader="none"/>
          <w:tab w:val="left" w:pos="900" w:leader="none"/>
        </w:tabs>
        <w:rPr>
          <w:b/>
          <w:sz w:val="24"/>
          <w:highlight w:val="none"/>
        </w:rPr>
        <w:outlineLvl w:val="1"/>
      </w:pPr>
      <w:r/>
      <w:bookmarkStart w:id="719" w:name="_Toc99301422"/>
      <w:r>
        <w:rPr>
          <w:b/>
          <w:sz w:val="24"/>
          <w:highlight w:val="none"/>
        </w:rPr>
        <w:t xml:space="preserve">一、资格审查程序</w:t>
      </w:r>
      <w:bookmarkEnd w:id="719"/>
      <w:r>
        <w:rPr>
          <w:b/>
          <w:sz w:val="24"/>
          <w:highlight w:val="none"/>
        </w:rPr>
      </w:r>
      <w:r/>
    </w:p>
    <w:p>
      <w:pPr>
        <w:pStyle w:val="777"/>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rPr>
          <w:sz w:val="24"/>
          <w:highlight w:val="none"/>
        </w:rPr>
      </w:r>
      <w:r/>
    </w:p>
    <w:p>
      <w:pPr>
        <w:pStyle w:val="777"/>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rPr>
          <w:sz w:val="24"/>
          <w:highlight w:val="none"/>
        </w:rPr>
      </w:r>
      <w:r/>
    </w:p>
    <w:p>
      <w:pPr>
        <w:pStyle w:val="777"/>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rPr>
          <w:sz w:val="24"/>
          <w:highlight w:val="none"/>
        </w:rPr>
      </w:r>
      <w:r/>
    </w:p>
    <w:p>
      <w:pPr>
        <w:pStyle w:val="777"/>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rPr>
          <w:sz w:val="24"/>
          <w:highlight w:val="none"/>
        </w:rPr>
      </w:r>
      <w:r/>
    </w:p>
    <w:p>
      <w:pPr>
        <w:pStyle w:val="777"/>
        <w:jc w:val="left"/>
        <w:widowControl/>
        <w:rPr>
          <w:sz w:val="24"/>
          <w:highlight w:val="none"/>
        </w:rPr>
      </w:pPr>
      <w:r>
        <w:rPr>
          <w:sz w:val="24"/>
          <w:highlight w:val="none"/>
        </w:rPr>
      </w:r>
      <w:r/>
    </w:p>
    <w:p>
      <w:pPr>
        <w:pStyle w:val="777"/>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777"/>
              <w:jc w:val="center"/>
              <w:tabs>
                <w:tab w:val="left" w:pos="1080" w:leader="none"/>
              </w:tabs>
              <w:rPr>
                <w:b/>
                <w:sz w:val="24"/>
                <w:highlight w:val="none"/>
              </w:rPr>
            </w:pPr>
            <w:r/>
            <w:bookmarkStart w:id="720" w:name="_Hlt487972895"/>
            <w:r/>
            <w:bookmarkEnd w:id="720"/>
            <w:r>
              <w:rPr>
                <w:b/>
                <w:sz w:val="24"/>
                <w:highlight w:val="none"/>
              </w:rPr>
              <w:t xml:space="preserve">序号</w:t>
            </w:r>
            <w:r>
              <w:rPr>
                <w:b/>
                <w:sz w:val="24"/>
                <w:highlight w:val="none"/>
              </w:rPr>
            </w:r>
            <w:r/>
          </w:p>
        </w:tc>
        <w:tc>
          <w:tcPr>
            <w:tcW w:w="1066" w:type="dxa"/>
            <w:vAlign w:val="center"/>
            <w:textDirection w:val="lrTb"/>
            <w:noWrap w:val="false"/>
          </w:tcPr>
          <w:p>
            <w:pPr>
              <w:pStyle w:val="777"/>
              <w:jc w:val="center"/>
              <w:tabs>
                <w:tab w:val="left" w:pos="1080" w:leader="none"/>
              </w:tabs>
              <w:rPr>
                <w:b/>
                <w:sz w:val="24"/>
                <w:highlight w:val="none"/>
              </w:rPr>
            </w:pPr>
            <w:r>
              <w:rPr>
                <w:b/>
                <w:sz w:val="24"/>
                <w:highlight w:val="none"/>
              </w:rPr>
              <w:t xml:space="preserve">审查因素</w:t>
            </w:r>
            <w:r>
              <w:rPr>
                <w:b/>
                <w:sz w:val="24"/>
                <w:highlight w:val="none"/>
              </w:rPr>
            </w:r>
            <w:r/>
          </w:p>
        </w:tc>
        <w:tc>
          <w:tcPr>
            <w:tcW w:w="2595" w:type="dxa"/>
            <w:vAlign w:val="center"/>
            <w:textDirection w:val="lrTb"/>
            <w:noWrap w:val="false"/>
          </w:tcPr>
          <w:p>
            <w:pPr>
              <w:pStyle w:val="777"/>
              <w:jc w:val="center"/>
              <w:tabs>
                <w:tab w:val="left" w:pos="1080" w:leader="none"/>
              </w:tabs>
              <w:rPr>
                <w:b/>
                <w:sz w:val="24"/>
                <w:highlight w:val="none"/>
              </w:rPr>
            </w:pPr>
            <w:r>
              <w:rPr>
                <w:b/>
                <w:sz w:val="24"/>
                <w:highlight w:val="none"/>
              </w:rPr>
              <w:t xml:space="preserve">审查内容</w:t>
            </w:r>
            <w:r>
              <w:rPr>
                <w:b/>
                <w:sz w:val="24"/>
                <w:highlight w:val="none"/>
              </w:rPr>
            </w:r>
            <w:r/>
          </w:p>
        </w:tc>
        <w:tc>
          <w:tcPr>
            <w:tcW w:w="881" w:type="dxa"/>
            <w:vAlign w:val="center"/>
            <w:textDirection w:val="lrTb"/>
            <w:noWrap w:val="false"/>
          </w:tcPr>
          <w:p>
            <w:pPr>
              <w:pStyle w:val="777"/>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468"/>
        </w:trPr>
        <w:tc>
          <w:tcPr>
            <w:tcW w:w="455" w:type="dxa"/>
            <w:vAlign w:val="center"/>
            <w:textDirection w:val="lrTb"/>
            <w:noWrap w:val="false"/>
          </w:tcPr>
          <w:p>
            <w:pPr>
              <w:pStyle w:val="777"/>
              <w:jc w:val="center"/>
              <w:tabs>
                <w:tab w:val="left" w:pos="1080" w:leader="none"/>
              </w:tabs>
              <w:rPr>
                <w:sz w:val="24"/>
                <w:highlight w:val="none"/>
              </w:rPr>
            </w:pPr>
            <w:r>
              <w:rPr>
                <w:sz w:val="24"/>
                <w:highlight w:val="none"/>
              </w:rPr>
              <w:t xml:space="preserve">1</w:t>
            </w:r>
            <w:r>
              <w:rPr>
                <w:sz w:val="24"/>
                <w:highlight w:val="none"/>
              </w:rPr>
            </w:r>
            <w:r/>
          </w:p>
        </w:tc>
        <w:tc>
          <w:tcPr>
            <w:tcW w:w="1066" w:type="dxa"/>
            <w:vAlign w:val="center"/>
            <w:textDirection w:val="lrTb"/>
            <w:noWrap w:val="false"/>
          </w:tcPr>
          <w:p>
            <w:pPr>
              <w:pStyle w:val="777"/>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95" w:type="dxa"/>
            <w:vAlign w:val="center"/>
            <w:textDirection w:val="lrTb"/>
            <w:noWrap w:val="false"/>
          </w:tcPr>
          <w:p>
            <w:pPr>
              <w:pStyle w:val="777"/>
              <w:tabs>
                <w:tab w:val="left" w:pos="1080" w:leader="none"/>
              </w:tabs>
              <w:rPr>
                <w:sz w:val="24"/>
                <w:highlight w:val="none"/>
              </w:rPr>
            </w:pPr>
            <w:r>
              <w:rPr>
                <w:sz w:val="24"/>
                <w:highlight w:val="none"/>
              </w:rPr>
              <w:t xml:space="preserve">具体规定见第一章《投标邀请》</w:t>
            </w:r>
            <w:r>
              <w:rPr>
                <w:sz w:val="24"/>
                <w:highlight w:val="none"/>
              </w:rPr>
            </w:r>
            <w:r/>
          </w:p>
        </w:tc>
        <w:tc>
          <w:tcPr>
            <w:tcW w:w="881" w:type="dxa"/>
            <w:vAlign w:val="center"/>
            <w:textDirection w:val="lrTb"/>
            <w:noWrap w:val="false"/>
          </w:tcPr>
          <w:p>
            <w:pPr>
              <w:pStyle w:val="777"/>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pStyle w:val="777"/>
              <w:jc w:val="center"/>
              <w:tabs>
                <w:tab w:val="left" w:pos="1080" w:leader="none"/>
              </w:tabs>
              <w:rPr>
                <w:sz w:val="24"/>
                <w:highlight w:val="none"/>
              </w:rPr>
            </w:pPr>
            <w:r>
              <w:rPr>
                <w:sz w:val="24"/>
                <w:highlight w:val="none"/>
              </w:rPr>
              <w:t xml:space="preserve">1</w:t>
            </w:r>
            <w:r>
              <w:rPr>
                <w:rFonts w:hint="eastAsia"/>
                <w:sz w:val="24"/>
                <w:highlight w:val="none"/>
              </w:rPr>
              <w:t xml:space="preserve">-1</w:t>
            </w:r>
            <w:r>
              <w:rPr>
                <w:sz w:val="24"/>
                <w:highlight w:val="none"/>
              </w:rPr>
            </w:r>
            <w:r/>
          </w:p>
        </w:tc>
        <w:tc>
          <w:tcPr>
            <w:tcW w:w="1066" w:type="dxa"/>
            <w:vAlign w:val="center"/>
            <w:textDirection w:val="lrTb"/>
            <w:noWrap w:val="false"/>
          </w:tcPr>
          <w:p>
            <w:pPr>
              <w:pStyle w:val="777"/>
              <w:tabs>
                <w:tab w:val="left" w:pos="1080" w:leader="none"/>
              </w:tabs>
              <w:rPr>
                <w:sz w:val="24"/>
                <w:highlight w:val="none"/>
              </w:rPr>
            </w:pPr>
            <w:r>
              <w:rPr>
                <w:rFonts w:hint="eastAsia"/>
                <w:sz w:val="24"/>
                <w:highlight w:val="none"/>
              </w:rPr>
              <w:t xml:space="preserve">投标人资格声明函</w:t>
            </w:r>
            <w:r>
              <w:rPr>
                <w:sz w:val="24"/>
                <w:highlight w:val="none"/>
              </w:rPr>
            </w:r>
            <w:r/>
          </w:p>
        </w:tc>
        <w:tc>
          <w:tcPr>
            <w:tcW w:w="2595" w:type="dxa"/>
            <w:vAlign w:val="center"/>
            <w:textDirection w:val="lrTb"/>
            <w:noWrap w:val="false"/>
          </w:tcPr>
          <w:p>
            <w:pPr>
              <w:pStyle w:val="777"/>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rPr>
                <w:sz w:val="24"/>
                <w:highlight w:val="none"/>
              </w:rPr>
            </w:r>
            <w:r/>
          </w:p>
        </w:tc>
        <w:tc>
          <w:tcPr>
            <w:tcW w:w="881" w:type="dxa"/>
            <w:vAlign w:val="center"/>
            <w:textDirection w:val="lrTb"/>
            <w:noWrap w:val="false"/>
          </w:tcPr>
          <w:p>
            <w:pPr>
              <w:pStyle w:val="777"/>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5" w:type="dxa"/>
            <w:vAlign w:val="center"/>
            <w:textDirection w:val="lrTb"/>
            <w:noWrap w:val="false"/>
          </w:tcPr>
          <w:p>
            <w:pPr>
              <w:pStyle w:val="777"/>
              <w:jc w:val="center"/>
              <w:tabs>
                <w:tab w:val="left" w:pos="1080" w:leader="none"/>
              </w:tabs>
              <w:rPr>
                <w:sz w:val="24"/>
                <w:highlight w:val="none"/>
              </w:rPr>
            </w:pPr>
            <w:r>
              <w:rPr>
                <w:rFonts w:hint="eastAsia"/>
                <w:sz w:val="24"/>
                <w:highlight w:val="none"/>
              </w:rPr>
              <w:t xml:space="preserve">1-2</w:t>
            </w:r>
            <w:r>
              <w:rPr>
                <w:sz w:val="24"/>
                <w:highlight w:val="none"/>
              </w:rPr>
            </w:r>
            <w:r/>
          </w:p>
        </w:tc>
        <w:tc>
          <w:tcPr>
            <w:tcW w:w="1066" w:type="dxa"/>
            <w:vAlign w:val="center"/>
            <w:textDirection w:val="lrTb"/>
            <w:noWrap w:val="false"/>
          </w:tcPr>
          <w:p>
            <w:pPr>
              <w:pStyle w:val="777"/>
              <w:tabs>
                <w:tab w:val="left" w:pos="1080" w:leader="none"/>
              </w:tabs>
              <w:rPr>
                <w:sz w:val="24"/>
                <w:highlight w:val="none"/>
              </w:rPr>
            </w:pPr>
            <w:r>
              <w:rPr>
                <w:sz w:val="24"/>
                <w:highlight w:val="none"/>
              </w:rPr>
              <w:t xml:space="preserve">投标人信用记录</w:t>
            </w:r>
            <w:r>
              <w:rPr>
                <w:sz w:val="24"/>
                <w:highlight w:val="none"/>
              </w:rPr>
            </w:r>
            <w:r/>
          </w:p>
        </w:tc>
        <w:tc>
          <w:tcPr>
            <w:tcW w:w="2595" w:type="dxa"/>
            <w:vAlign w:val="center"/>
            <w:textDirection w:val="lrTb"/>
            <w:noWrap w:val="false"/>
          </w:tcPr>
          <w:p>
            <w:pPr>
              <w:pStyle w:val="777"/>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777"/>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777"/>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777"/>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rPr>
                <w:sz w:val="24"/>
                <w:highlight w:val="none"/>
              </w:rPr>
            </w:r>
            <w:r/>
          </w:p>
        </w:tc>
        <w:tc>
          <w:tcPr>
            <w:tcW w:w="881" w:type="dxa"/>
            <w:vAlign w:val="center"/>
            <w:textDirection w:val="lrTb"/>
            <w:noWrap w:val="false"/>
          </w:tcPr>
          <w:p>
            <w:pPr>
              <w:pStyle w:val="777"/>
              <w:tabs>
                <w:tab w:val="left" w:pos="1080" w:leader="none"/>
              </w:tabs>
              <w:rPr>
                <w:sz w:val="24"/>
                <w:highlight w:val="none"/>
              </w:rPr>
            </w:pPr>
            <w:r>
              <w:rPr>
                <w:sz w:val="24"/>
                <w:highlight w:val="none"/>
              </w:rPr>
              <w:t xml:space="preserve">无须投标人提供，由</w:t>
            </w:r>
            <w:r>
              <w:rPr>
                <w:rFonts w:hint="eastAsia"/>
                <w:sz w:val="24"/>
                <w:highlight w:val="none"/>
              </w:rPr>
              <w:t xml:space="preserve">采购人或采购代理机构查询</w:t>
            </w:r>
            <w:r>
              <w:rPr>
                <w:sz w:val="24"/>
                <w:highlight w:val="none"/>
              </w:rPr>
              <w:t xml:space="preserve">。</w:t>
            </w:r>
            <w:r>
              <w:rPr>
                <w:sz w:val="24"/>
                <w:highlight w:val="none"/>
              </w:rPr>
            </w:r>
            <w:r/>
          </w:p>
        </w:tc>
      </w:tr>
      <w:tr>
        <w:trPr>
          <w:cantSplit/>
          <w:trHeight w:val="468"/>
        </w:trPr>
        <w:tc>
          <w:tcPr>
            <w:tcW w:w="455" w:type="dxa"/>
            <w:vAlign w:val="center"/>
            <w:textDirection w:val="lrTb"/>
            <w:noWrap w:val="false"/>
          </w:tcPr>
          <w:p>
            <w:pPr>
              <w:pStyle w:val="777"/>
              <w:jc w:val="center"/>
              <w:tabs>
                <w:tab w:val="left" w:pos="1080" w:leader="none"/>
              </w:tabs>
              <w:rPr>
                <w:sz w:val="24"/>
                <w:highlight w:val="none"/>
              </w:rPr>
            </w:pPr>
            <w:r>
              <w:rPr>
                <w:sz w:val="24"/>
                <w:highlight w:val="none"/>
              </w:rPr>
              <w:t xml:space="preserve">2</w:t>
            </w:r>
            <w:r>
              <w:rPr>
                <w:sz w:val="24"/>
                <w:highlight w:val="none"/>
              </w:rPr>
            </w:r>
            <w:r/>
          </w:p>
        </w:tc>
        <w:tc>
          <w:tcPr>
            <w:tcW w:w="1066" w:type="dxa"/>
            <w:vAlign w:val="center"/>
            <w:textDirection w:val="lrTb"/>
            <w:noWrap w:val="false"/>
          </w:tcPr>
          <w:p>
            <w:pPr>
              <w:pStyle w:val="777"/>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95" w:type="dxa"/>
            <w:vAlign w:val="center"/>
            <w:textDirection w:val="lrTb"/>
            <w:noWrap w:val="false"/>
          </w:tcPr>
          <w:p>
            <w:pPr>
              <w:pStyle w:val="777"/>
              <w:tabs>
                <w:tab w:val="left" w:pos="1080" w:leader="none"/>
              </w:tabs>
              <w:rPr>
                <w:sz w:val="24"/>
                <w:highlight w:val="none"/>
              </w:rPr>
            </w:pPr>
            <w:r>
              <w:rPr>
                <w:sz w:val="24"/>
                <w:highlight w:val="none"/>
              </w:rPr>
              <w:t xml:space="preserve">具体要求见第一章《投标邀请》</w:t>
            </w:r>
            <w:r>
              <w:rPr>
                <w:sz w:val="24"/>
                <w:highlight w:val="none"/>
              </w:rPr>
            </w:r>
            <w:r/>
          </w:p>
        </w:tc>
        <w:tc>
          <w:tcPr>
            <w:tcW w:w="881" w:type="dxa"/>
            <w:vAlign w:val="center"/>
            <w:textDirection w:val="lrTb"/>
            <w:noWrap w:val="false"/>
          </w:tcPr>
          <w:p>
            <w:pPr>
              <w:pStyle w:val="777"/>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pStyle w:val="777"/>
              <w:jc w:val="center"/>
              <w:tabs>
                <w:tab w:val="left" w:pos="1080" w:leader="none"/>
              </w:tabs>
              <w:rPr>
                <w:sz w:val="24"/>
                <w:highlight w:val="none"/>
              </w:rPr>
            </w:pPr>
            <w:r>
              <w:rPr>
                <w:sz w:val="24"/>
                <w:highlight w:val="none"/>
              </w:rPr>
              <w:t xml:space="preserve">2-1</w:t>
            </w:r>
            <w:r>
              <w:rPr>
                <w:sz w:val="24"/>
                <w:highlight w:val="none"/>
              </w:rPr>
            </w:r>
            <w:r/>
          </w:p>
        </w:tc>
        <w:tc>
          <w:tcPr>
            <w:tcW w:w="1066" w:type="dxa"/>
            <w:vAlign w:val="center"/>
            <w:textDirection w:val="lrTb"/>
            <w:noWrap w:val="false"/>
          </w:tcPr>
          <w:p>
            <w:pPr>
              <w:pStyle w:val="777"/>
              <w:tabs>
                <w:tab w:val="left" w:pos="1080" w:leader="none"/>
              </w:tabs>
              <w:rPr>
                <w:sz w:val="24"/>
                <w:highlight w:val="none"/>
              </w:rPr>
            </w:pPr>
            <w:r>
              <w:rPr>
                <w:sz w:val="24"/>
                <w:highlight w:val="none"/>
              </w:rPr>
              <w:t xml:space="preserve">中小企业声明函</w:t>
            </w:r>
            <w:r>
              <w:rPr>
                <w:sz w:val="24"/>
                <w:highlight w:val="none"/>
              </w:rPr>
            </w:r>
            <w:r/>
          </w:p>
        </w:tc>
        <w:tc>
          <w:tcPr>
            <w:tcW w:w="2595" w:type="dxa"/>
            <w:vAlign w:val="center"/>
            <w:textDirection w:val="lrTb"/>
            <w:noWrap w:val="false"/>
          </w:tcPr>
          <w:p>
            <w:pPr>
              <w:pStyle w:val="777"/>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rPr>
                <w:sz w:val="24"/>
                <w:highlight w:val="none"/>
              </w:rPr>
            </w:r>
            <w:r/>
          </w:p>
          <w:p>
            <w:pPr>
              <w:pStyle w:val="777"/>
              <w:tabs>
                <w:tab w:val="left" w:pos="1080" w:leader="none"/>
              </w:tabs>
              <w:rPr>
                <w:sz w:val="24"/>
                <w:highlight w:val="none"/>
              </w:rPr>
            </w:pPr>
            <w:r>
              <w:rPr>
                <w:sz w:val="24"/>
                <w:highlight w:val="none"/>
              </w:rPr>
            </w:r>
            <w:r/>
          </w:p>
          <w:p>
            <w:pPr>
              <w:pStyle w:val="777"/>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rPr>
                <w:sz w:val="24"/>
                <w:highlight w:val="none"/>
              </w:rPr>
            </w:r>
            <w:r/>
          </w:p>
          <w:p>
            <w:pPr>
              <w:pStyle w:val="777"/>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rPr>
                <w:sz w:val="24"/>
                <w:highlight w:val="none"/>
              </w:rPr>
            </w:r>
            <w:r/>
          </w:p>
        </w:tc>
        <w:tc>
          <w:tcPr>
            <w:tcW w:w="881" w:type="dxa"/>
            <w:vAlign w:val="center"/>
            <w:textDirection w:val="lrTb"/>
            <w:noWrap w:val="false"/>
          </w:tcPr>
          <w:p>
            <w:pPr>
              <w:pStyle w:val="777"/>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5" w:type="dxa"/>
            <w:vAlign w:val="center"/>
            <w:textDirection w:val="lrTb"/>
            <w:noWrap w:val="false"/>
          </w:tcPr>
          <w:p>
            <w:pPr>
              <w:pStyle w:val="777"/>
              <w:jc w:val="center"/>
              <w:tabs>
                <w:tab w:val="left" w:pos="1080" w:leader="none"/>
              </w:tabs>
              <w:rPr>
                <w:sz w:val="24"/>
                <w:highlight w:val="none"/>
              </w:rPr>
            </w:pPr>
            <w:r>
              <w:rPr>
                <w:sz w:val="24"/>
                <w:highlight w:val="none"/>
              </w:rPr>
              <w:t xml:space="preserve">3</w:t>
            </w:r>
            <w:r>
              <w:rPr>
                <w:sz w:val="24"/>
                <w:highlight w:val="none"/>
              </w:rPr>
            </w:r>
            <w:r/>
          </w:p>
        </w:tc>
        <w:tc>
          <w:tcPr>
            <w:tcW w:w="1066" w:type="dxa"/>
            <w:vAlign w:val="center"/>
            <w:textDirection w:val="lrTb"/>
            <w:noWrap w:val="false"/>
          </w:tcPr>
          <w:p>
            <w:pPr>
              <w:pStyle w:val="777"/>
              <w:tabs>
                <w:tab w:val="left" w:pos="1080" w:leader="none"/>
              </w:tabs>
              <w:rPr>
                <w:sz w:val="24"/>
                <w:highlight w:val="none"/>
              </w:rPr>
            </w:pPr>
            <w:r>
              <w:rPr>
                <w:sz w:val="24"/>
                <w:highlight w:val="none"/>
              </w:rPr>
              <w:t xml:space="preserve">本项目的特定资格要求</w:t>
            </w:r>
            <w:r>
              <w:rPr>
                <w:sz w:val="24"/>
                <w:highlight w:val="none"/>
              </w:rPr>
            </w:r>
            <w:r/>
          </w:p>
        </w:tc>
        <w:tc>
          <w:tcPr>
            <w:tcW w:w="2595" w:type="dxa"/>
            <w:vAlign w:val="center"/>
            <w:textDirection w:val="lrTb"/>
            <w:noWrap w:val="false"/>
          </w:tcPr>
          <w:p>
            <w:pPr>
              <w:pStyle w:val="777"/>
              <w:tabs>
                <w:tab w:val="left" w:pos="1080" w:leader="none"/>
              </w:tabs>
              <w:rPr>
                <w:sz w:val="24"/>
                <w:highlight w:val="none"/>
              </w:rPr>
            </w:pPr>
            <w:r>
              <w:rPr>
                <w:sz w:val="24"/>
                <w:highlight w:val="none"/>
              </w:rPr>
              <w:t xml:space="preserve">见第一章《投标邀请》</w:t>
            </w:r>
            <w:r>
              <w:rPr>
                <w:sz w:val="24"/>
                <w:highlight w:val="none"/>
              </w:rPr>
            </w:r>
            <w:r/>
          </w:p>
        </w:tc>
        <w:tc>
          <w:tcPr>
            <w:tcW w:w="881" w:type="dxa"/>
            <w:vAlign w:val="center"/>
            <w:textDirection w:val="lrTb"/>
            <w:noWrap w:val="false"/>
          </w:tcPr>
          <w:p>
            <w:pPr>
              <w:pStyle w:val="777"/>
              <w:tabs>
                <w:tab w:val="left" w:pos="1080" w:leader="none"/>
              </w:tabs>
              <w:rPr>
                <w:sz w:val="24"/>
                <w:highlight w:val="none"/>
              </w:rPr>
            </w:pPr>
            <w:r>
              <w:rPr>
                <w:sz w:val="24"/>
                <w:highlight w:val="none"/>
              </w:rPr>
            </w:r>
            <w:r/>
          </w:p>
        </w:tc>
      </w:tr>
      <w:tr>
        <w:trPr>
          <w:cantSplit/>
          <w:trHeight w:val="460"/>
        </w:trPr>
        <w:tc>
          <w:tcPr>
            <w:tcW w:w="455" w:type="dxa"/>
            <w:vAlign w:val="center"/>
            <w:textDirection w:val="lrTb"/>
            <w:noWrap w:val="false"/>
          </w:tcPr>
          <w:p>
            <w:pPr>
              <w:pStyle w:val="777"/>
              <w:jc w:val="center"/>
              <w:tabs>
                <w:tab w:val="left" w:pos="1080" w:leader="none"/>
              </w:tabs>
              <w:rPr>
                <w:rFonts w:hint="eastAsia" w:eastAsia="宋体"/>
                <w:sz w:val="24"/>
                <w:highlight w:val="none"/>
                <w:lang w:eastAsia="zh-CN"/>
              </w:rPr>
            </w:pPr>
            <w:r>
              <w:rPr>
                <w:sz w:val="24"/>
                <w:highlight w:val="none"/>
              </w:rPr>
              <w:t xml:space="preserve">3-</w:t>
            </w:r>
            <w:r>
              <w:rPr>
                <w:rFonts w:hint="eastAsia"/>
                <w:sz w:val="24"/>
                <w:highlight w:val="none"/>
                <w:lang w:val="en-US" w:eastAsia="zh-CN"/>
              </w:rPr>
              <w:t xml:space="preserve">1</w:t>
            </w:r>
            <w:r>
              <w:rPr>
                <w:rFonts w:hint="eastAsia" w:eastAsia="宋体"/>
                <w:sz w:val="24"/>
                <w:highlight w:val="none"/>
                <w:lang w:eastAsia="zh-CN"/>
              </w:rPr>
            </w:r>
            <w:r/>
          </w:p>
        </w:tc>
        <w:tc>
          <w:tcPr>
            <w:tcW w:w="1066" w:type="dxa"/>
            <w:vAlign w:val="center"/>
            <w:textDirection w:val="lrTb"/>
            <w:noWrap w:val="false"/>
          </w:tcPr>
          <w:p>
            <w:pPr>
              <w:pStyle w:val="777"/>
              <w:tabs>
                <w:tab w:val="left" w:pos="1080" w:leader="none"/>
              </w:tabs>
              <w:rPr>
                <w:sz w:val="24"/>
                <w:highlight w:val="none"/>
              </w:rPr>
            </w:pPr>
            <w:r>
              <w:rPr>
                <w:sz w:val="24"/>
                <w:highlight w:val="none"/>
              </w:rPr>
              <w:t xml:space="preserve">其他特定资格要求</w:t>
            </w:r>
            <w:r>
              <w:rPr>
                <w:sz w:val="24"/>
                <w:highlight w:val="none"/>
              </w:rPr>
            </w:r>
            <w:r/>
          </w:p>
        </w:tc>
        <w:tc>
          <w:tcPr>
            <w:tcW w:w="2595" w:type="dxa"/>
            <w:vAlign w:val="center"/>
            <w:textDirection w:val="lrTb"/>
            <w:noWrap w:val="false"/>
          </w:tcPr>
          <w:p>
            <w:pPr>
              <w:pStyle w:val="777"/>
              <w:tabs>
                <w:tab w:val="left" w:pos="1080" w:leader="none"/>
              </w:tabs>
              <w:rPr>
                <w:sz w:val="24"/>
                <w:highlight w:val="none"/>
              </w:rPr>
            </w:pPr>
            <w:r>
              <w:rPr>
                <w:color w:val="000000"/>
                <w:sz w:val="24"/>
                <w:highlight w:val="none"/>
              </w:rPr>
              <w:t xml:space="preserve">见</w:t>
            </w:r>
            <w:r>
              <w:rPr>
                <w:sz w:val="24"/>
                <w:highlight w:val="none"/>
              </w:rPr>
              <w:t xml:space="preserve">第一章《投标邀请》</w:t>
            </w:r>
            <w:r>
              <w:rPr>
                <w:sz w:val="24"/>
                <w:highlight w:val="none"/>
              </w:rPr>
            </w:r>
            <w:r/>
          </w:p>
        </w:tc>
        <w:tc>
          <w:tcPr>
            <w:tcW w:w="881" w:type="dxa"/>
            <w:vAlign w:val="center"/>
            <w:textDirection w:val="lrTb"/>
            <w:noWrap w:val="false"/>
          </w:tcPr>
          <w:p>
            <w:pPr>
              <w:pStyle w:val="777"/>
              <w:tabs>
                <w:tab w:val="left" w:pos="1080" w:leader="none"/>
              </w:tabs>
              <w:rPr>
                <w:sz w:val="24"/>
                <w:highlight w:val="none"/>
              </w:rPr>
            </w:pPr>
            <w:r>
              <w:rPr>
                <w:sz w:val="24"/>
                <w:highlight w:val="none"/>
              </w:rPr>
              <w:t xml:space="preserve">提供</w:t>
            </w:r>
            <w:r>
              <w:rPr>
                <w:rFonts w:hint="eastAsia"/>
                <w:sz w:val="24"/>
                <w:highlight w:val="none"/>
                <w:lang w:val="en-US" w:eastAsia="zh-CN"/>
              </w:rPr>
              <w:t xml:space="preserve">相关</w:t>
            </w:r>
            <w:r>
              <w:rPr>
                <w:sz w:val="24"/>
                <w:highlight w:val="none"/>
              </w:rPr>
              <w:t xml:space="preserve">证明文件</w:t>
            </w:r>
            <w:r>
              <w:rPr>
                <w:sz w:val="24"/>
                <w:highlight w:val="none"/>
              </w:rPr>
            </w:r>
            <w:r/>
          </w:p>
        </w:tc>
      </w:tr>
    </w:tbl>
    <w:p>
      <w:pPr>
        <w:pStyle w:val="777"/>
        <w:jc w:val="left"/>
        <w:widowControl/>
        <w:rPr>
          <w:sz w:val="24"/>
          <w:highlight w:val="none"/>
        </w:rPr>
      </w:pPr>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718"/>
      <w:r/>
      <w:bookmarkStart w:id="721" w:name="_Toc353825550"/>
      <w:r/>
      <w:bookmarkStart w:id="722" w:name="_Toc127161490"/>
      <w:r/>
      <w:bookmarkStart w:id="723" w:name="_Toc127151779"/>
      <w:r/>
      <w:bookmarkStart w:id="724" w:name="_Toc353873940"/>
      <w:r/>
      <w:bookmarkStart w:id="725" w:name="_Toc226965858"/>
      <w:r>
        <w:rPr>
          <w:sz w:val="24"/>
          <w:highlight w:val="none"/>
        </w:rPr>
        <w:br w:type="page" w:clear="all"/>
      </w:r>
      <w:r>
        <w:rPr>
          <w:sz w:val="24"/>
          <w:highlight w:val="none"/>
        </w:rPr>
      </w:r>
      <w:r/>
    </w:p>
    <w:p>
      <w:pPr>
        <w:pStyle w:val="777"/>
        <w:jc w:val="center"/>
        <w:spacing w:line="360" w:lineRule="auto"/>
        <w:rPr>
          <w:b/>
          <w:sz w:val="36"/>
          <w:szCs w:val="36"/>
          <w:highlight w:val="none"/>
        </w:rPr>
        <w:outlineLvl w:val="0"/>
      </w:pPr>
      <w:r/>
      <w:bookmarkStart w:id="726" w:name="_Toc99301423"/>
      <w:r>
        <w:rPr>
          <w:b/>
          <w:sz w:val="36"/>
          <w:szCs w:val="36"/>
          <w:highlight w:val="none"/>
        </w:rPr>
        <w:t xml:space="preserve">第四章   </w:t>
      </w:r>
      <w:bookmarkEnd w:id="721"/>
      <w:r/>
      <w:bookmarkEnd w:id="722"/>
      <w:r/>
      <w:bookmarkEnd w:id="723"/>
      <w:r/>
      <w:bookmarkEnd w:id="724"/>
      <w:r/>
      <w:bookmarkEnd w:id="725"/>
      <w:r/>
      <w:bookmarkStart w:id="727" w:name="_Hlt164229061"/>
      <w:r/>
      <w:bookmarkEnd w:id="727"/>
      <w:r>
        <w:rPr>
          <w:b/>
          <w:sz w:val="36"/>
          <w:szCs w:val="36"/>
          <w:highlight w:val="none"/>
        </w:rPr>
        <w:t xml:space="preserve">评标程序、评标方法和评标标准</w:t>
      </w:r>
      <w:bookmarkEnd w:id="726"/>
      <w:r>
        <w:rPr>
          <w:b/>
          <w:sz w:val="36"/>
          <w:szCs w:val="36"/>
          <w:highlight w:val="none"/>
        </w:rPr>
      </w:r>
      <w:r/>
    </w:p>
    <w:p>
      <w:pPr>
        <w:pStyle w:val="777"/>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777"/>
        <w:numPr>
          <w:ilvl w:val="0"/>
          <w:numId w:val="12"/>
        </w:numPr>
        <w:spacing w:line="360" w:lineRule="auto"/>
        <w:tabs>
          <w:tab w:val="left" w:pos="360" w:leader="none"/>
          <w:tab w:val="left" w:pos="900" w:leader="none"/>
        </w:tabs>
        <w:rPr>
          <w:sz w:val="24"/>
          <w:highlight w:val="none"/>
        </w:rPr>
        <w:outlineLvl w:val="1"/>
      </w:pPr>
      <w:r/>
      <w:bookmarkStart w:id="728" w:name="_Toc150774746"/>
      <w:r/>
      <w:bookmarkStart w:id="729" w:name="_Toc164229382"/>
      <w:r/>
      <w:bookmarkStart w:id="730" w:name="_Toc265228379"/>
      <w:r/>
      <w:bookmarkStart w:id="731" w:name="_Toc150774641"/>
      <w:r/>
      <w:bookmarkStart w:id="732" w:name="_Toc127161455"/>
      <w:r/>
      <w:bookmarkStart w:id="733" w:name="_Toc127151742"/>
      <w:r/>
      <w:bookmarkStart w:id="734" w:name="_Toc150480779"/>
      <w:r/>
      <w:bookmarkStart w:id="735" w:name="_Toc226965814"/>
      <w:r/>
      <w:bookmarkStart w:id="736" w:name="_Toc226309785"/>
      <w:r/>
      <w:bookmarkStart w:id="737" w:name="_Toc195842906"/>
      <w:r/>
      <w:bookmarkStart w:id="738" w:name="_Toc151193929"/>
      <w:r/>
      <w:bookmarkStart w:id="739" w:name="_Toc305158809"/>
      <w:r/>
      <w:bookmarkStart w:id="740" w:name="_Toc164229236"/>
      <w:r/>
      <w:bookmarkStart w:id="741" w:name="_Toc164608810"/>
      <w:r/>
      <w:bookmarkStart w:id="742" w:name="_Toc142311043"/>
      <w:r/>
      <w:bookmarkStart w:id="743" w:name="_Toc151190168"/>
      <w:r/>
      <w:bookmarkStart w:id="744" w:name="_Toc151193639"/>
      <w:r/>
      <w:bookmarkStart w:id="745" w:name="_Toc164608655"/>
      <w:r/>
      <w:bookmarkStart w:id="746" w:name="_Toc264969231"/>
      <w:r/>
      <w:bookmarkStart w:id="747" w:name="_Toc305158883"/>
      <w:r/>
      <w:bookmarkStart w:id="748" w:name="_Toc164351635"/>
      <w:r/>
      <w:bookmarkStart w:id="749" w:name="_Toc127151541"/>
      <w:r/>
      <w:bookmarkStart w:id="750" w:name="_Toc226965731"/>
      <w:r/>
      <w:bookmarkStart w:id="751" w:name="_Toc149720834"/>
      <w:r/>
      <w:bookmarkStart w:id="752" w:name="_Toc151193711"/>
      <w:r/>
      <w:bookmarkStart w:id="753" w:name="_Toc151193855"/>
      <w:r/>
      <w:bookmarkStart w:id="754" w:name="_Toc150509292"/>
      <w:r/>
      <w:bookmarkStart w:id="755" w:name="_Toc226337237"/>
      <w:r/>
      <w:bookmarkStart w:id="756" w:name="_Toc151193783"/>
      <w:r/>
      <w:bookmarkStart w:id="757" w:name="_Toc353873941"/>
      <w:r/>
      <w:bookmarkStart w:id="758" w:name="_Toc353825551"/>
      <w:r/>
      <w:bookmarkStart w:id="759" w:name="_Toc353873665"/>
      <w:r/>
      <w:bookmarkStart w:id="760" w:name="_Toc150774760"/>
      <w:r/>
      <w:bookmarkStart w:id="761" w:name="_Toc142311057"/>
      <w:r/>
      <w:bookmarkStart w:id="762" w:name="_Toc305158823"/>
      <w:r/>
      <w:bookmarkStart w:id="763" w:name="_Toc264969245"/>
      <w:r/>
      <w:bookmarkStart w:id="764" w:name="_Toc226337251"/>
      <w:r/>
      <w:bookmarkStart w:id="765" w:name="_Toc353825545"/>
      <w:r/>
      <w:bookmarkStart w:id="766" w:name="_Toc150480793"/>
      <w:r/>
      <w:bookmarkStart w:id="767" w:name="_Toc127151555"/>
      <w:r/>
      <w:bookmarkStart w:id="768" w:name="_Toc195842920"/>
      <w:r/>
      <w:bookmarkStart w:id="769" w:name="_Toc353873935"/>
      <w:r/>
      <w:bookmarkStart w:id="770" w:name="_Toc265228393"/>
      <w:r/>
      <w:bookmarkStart w:id="771" w:name="_Toc226965828"/>
      <w:r/>
      <w:bookmarkStart w:id="772" w:name="_Toc305158897"/>
      <w:r>
        <w:rPr>
          <w:sz w:val="24"/>
          <w:highlight w:val="none"/>
        </w:rPr>
        <w:t xml:space="preserve">投标文件的符合性审查</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73" w:name="_Toc520356167"/>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73"/>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rPr>
          <w:sz w:val="24"/>
          <w:highlight w:val="none"/>
        </w:rPr>
      </w:r>
      <w:r/>
    </w:p>
    <w:p>
      <w:pPr>
        <w:pStyle w:val="777"/>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trHeight w:val="300"/>
        </w:trPr>
        <w:tc>
          <w:tcPr>
            <w:tcW w:w="403" w:type="dxa"/>
            <w:vAlign w:val="center"/>
            <w:textDirection w:val="lrTb"/>
            <w:noWrap w:val="false"/>
          </w:tcPr>
          <w:p>
            <w:pPr>
              <w:pStyle w:val="777"/>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77"/>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777"/>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3" w:type="dxa"/>
            <w:vAlign w:val="center"/>
            <w:textDirection w:val="lrTb"/>
            <w:noWrap w:val="false"/>
          </w:tcPr>
          <w:p>
            <w:pPr>
              <w:pStyle w:val="777"/>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77"/>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777"/>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77"/>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rPr>
                <w:color w:val="000000"/>
                <w:sz w:val="24"/>
                <w:highlight w:val="none"/>
              </w:rPr>
            </w:r>
            <w:r/>
          </w:p>
        </w:tc>
      </w:tr>
      <w:tr>
        <w:trPr>
          <w:trHeight w:val="685"/>
        </w:trPr>
        <w:tc>
          <w:tcPr>
            <w:tcW w:w="403" w:type="dxa"/>
            <w:vAlign w:val="center"/>
            <w:textDirection w:val="lrTb"/>
            <w:noWrap w:val="false"/>
          </w:tcPr>
          <w:p>
            <w:pPr>
              <w:pStyle w:val="777"/>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77"/>
              <w:jc w:val="left"/>
              <w:widowControl/>
              <w:rPr>
                <w:color w:val="000000"/>
                <w:sz w:val="24"/>
                <w:highlight w:val="none"/>
              </w:rPr>
            </w:pPr>
            <w:r>
              <w:rPr>
                <w:b/>
                <w:bCs/>
                <w:color w:val="000000"/>
                <w:sz w:val="24"/>
                <w:highlight w:val="none"/>
              </w:rPr>
              <w:t xml:space="preserve">投标报价</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b/>
                <w:bCs/>
                <w:color w:val="000000"/>
                <w:sz w:val="24"/>
                <w:highlight w:val="none"/>
              </w:rPr>
              <w:t xml:space="preserve">投标报价</w:t>
            </w:r>
            <w:r>
              <w:rPr>
                <w:b/>
                <w:bCs/>
                <w:color w:val="000000"/>
                <w:sz w:val="24"/>
                <w:highlight w:val="none"/>
              </w:rPr>
              <w:t xml:space="preserve">超过招标文件中规定的项目/采购包预算金额或者项目/采购包最高限价</w:t>
            </w:r>
            <w:r>
              <w:rPr>
                <w:rFonts w:hint="eastAsia"/>
                <w:b/>
                <w:bCs/>
                <w:color w:val="000000"/>
                <w:sz w:val="24"/>
                <w:highlight w:val="none"/>
              </w:rPr>
              <w:t xml:space="preserve">作为无效响应处理</w:t>
            </w:r>
            <w:r>
              <w:rPr>
                <w:b/>
                <w:bCs/>
                <w:color w:val="000000"/>
                <w:sz w:val="24"/>
                <w:highlight w:val="none"/>
              </w:rPr>
              <w:t xml:space="preserve">；</w:t>
            </w:r>
            <w:r>
              <w:rPr>
                <w:rFonts w:hint="eastAsia" w:ascii="宋体" w:hAnsi="宋体" w:eastAsia="宋体" w:cs="宋体"/>
                <w:b/>
                <w:bCs/>
                <w:sz w:val="24"/>
                <w:highlight w:val="none"/>
              </w:rPr>
              <w:t xml:space="preserve">提供《开标一览表》，</w:t>
            </w:r>
            <w:r>
              <w:rPr>
                <w:rFonts w:hint="eastAsia" w:ascii="宋体" w:hAnsi="宋体" w:eastAsia="宋体" w:cs="宋体"/>
                <w:color w:val="000000"/>
                <w:sz w:val="24"/>
                <w:highlight w:val="none"/>
              </w:rPr>
              <w:t xml:space="preserve">格式见</w:t>
            </w:r>
            <w:r>
              <w:rPr>
                <w:rFonts w:hint="eastAsia" w:ascii="宋体" w:hAnsi="宋体" w:eastAsia="宋体" w:cs="宋体"/>
                <w:sz w:val="24"/>
                <w:highlight w:val="none"/>
              </w:rPr>
              <w:t xml:space="preserve">《投标文件格式》</w:t>
            </w:r>
            <w:r>
              <w:rPr>
                <w:color w:val="000000"/>
                <w:sz w:val="24"/>
                <w:highlight w:val="none"/>
              </w:rPr>
            </w:r>
            <w:r/>
          </w:p>
        </w:tc>
      </w:tr>
      <w:tr>
        <w:trPr>
          <w:trHeight w:val="685"/>
        </w:trPr>
        <w:tc>
          <w:tcPr>
            <w:tcW w:w="403" w:type="dxa"/>
            <w:vAlign w:val="center"/>
            <w:textDirection w:val="lrTb"/>
            <w:noWrap w:val="false"/>
          </w:tcPr>
          <w:p>
            <w:pPr>
              <w:pStyle w:val="777"/>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77"/>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777"/>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77"/>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3" w:type="dxa"/>
            <w:vAlign w:val="center"/>
            <w:textDirection w:val="lrTb"/>
            <w:noWrap w:val="false"/>
          </w:tcPr>
          <w:p>
            <w:pPr>
              <w:pStyle w:val="777"/>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77"/>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3" w:type="dxa"/>
            <w:vAlign w:val="center"/>
            <w:textDirection w:val="lrTb"/>
            <w:noWrap w:val="false"/>
          </w:tcPr>
          <w:p>
            <w:pPr>
              <w:pStyle w:val="777"/>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77"/>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color w:val="000000"/>
                <w:sz w:val="24"/>
                <w:highlight w:val="none"/>
              </w:rPr>
            </w:r>
            <w:r/>
          </w:p>
        </w:tc>
      </w:tr>
      <w:tr>
        <w:trPr>
          <w:trHeight w:val="685"/>
        </w:trPr>
        <w:tc>
          <w:tcPr>
            <w:tcW w:w="403" w:type="dxa"/>
            <w:vAlign w:val="center"/>
            <w:textDirection w:val="lrTb"/>
            <w:noWrap w:val="false"/>
          </w:tcPr>
          <w:p>
            <w:pPr>
              <w:pStyle w:val="777"/>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777"/>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403" w:type="dxa"/>
            <w:vAlign w:val="center"/>
            <w:textDirection w:val="lrTb"/>
            <w:noWrap w:val="false"/>
          </w:tcPr>
          <w:p>
            <w:pPr>
              <w:pStyle w:val="777"/>
              <w:jc w:val="center"/>
              <w:widowControl/>
              <w:rPr>
                <w:rFonts w:hint="eastAsia" w:eastAsia="宋体"/>
                <w:color w:val="000000"/>
                <w:sz w:val="24"/>
                <w:highlight w:val="none"/>
                <w:lang w:eastAsia="zh-CN"/>
              </w:rPr>
            </w:pPr>
            <w:r>
              <w:rPr>
                <w:rFonts w:hint="eastAsia"/>
                <w:color w:val="000000"/>
                <w:sz w:val="24"/>
                <w:highlight w:val="none"/>
                <w:lang w:val="en-US" w:eastAsia="zh-CN"/>
              </w:rPr>
              <w:t xml:space="preserve">9</w:t>
            </w:r>
            <w:r>
              <w:rPr>
                <w:rFonts w:hint="eastAsia" w:eastAsia="宋体"/>
                <w:color w:val="000000"/>
                <w:sz w:val="24"/>
                <w:highlight w:val="none"/>
                <w:lang w:eastAsia="zh-CN"/>
              </w:rPr>
            </w:r>
            <w:r/>
          </w:p>
        </w:tc>
        <w:tc>
          <w:tcPr>
            <w:tcW w:w="975" w:type="dxa"/>
            <w:vAlign w:val="center"/>
            <w:textDirection w:val="lrTb"/>
            <w:noWrap w:val="false"/>
          </w:tcPr>
          <w:p>
            <w:pPr>
              <w:pStyle w:val="777"/>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3" w:type="dxa"/>
            <w:vAlign w:val="center"/>
            <w:textDirection w:val="lrTb"/>
            <w:noWrap w:val="false"/>
          </w:tcPr>
          <w:p>
            <w:pPr>
              <w:pStyle w:val="777"/>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0</w:t>
            </w:r>
            <w:r>
              <w:rPr>
                <w:rFonts w:hint="eastAsia" w:eastAsia="宋体"/>
                <w:color w:val="000000"/>
                <w:sz w:val="24"/>
                <w:highlight w:val="none"/>
                <w:lang w:eastAsia="zh-CN"/>
              </w:rPr>
            </w:r>
            <w:r/>
          </w:p>
        </w:tc>
        <w:tc>
          <w:tcPr>
            <w:tcW w:w="975" w:type="dxa"/>
            <w:vAlign w:val="center"/>
            <w:textDirection w:val="lrTb"/>
            <w:noWrap w:val="false"/>
          </w:tcPr>
          <w:p>
            <w:pPr>
              <w:pStyle w:val="777"/>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777"/>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1</w:t>
            </w:r>
            <w:r>
              <w:rPr>
                <w:rFonts w:hint="eastAsia" w:eastAsia="宋体"/>
                <w:color w:val="000000"/>
                <w:sz w:val="24"/>
                <w:highlight w:val="none"/>
                <w:lang w:eastAsia="zh-CN"/>
              </w:rPr>
            </w:r>
            <w:r/>
          </w:p>
        </w:tc>
        <w:tc>
          <w:tcPr>
            <w:tcW w:w="975" w:type="dxa"/>
            <w:vAlign w:val="center"/>
            <w:textDirection w:val="lrTb"/>
            <w:noWrap w:val="false"/>
          </w:tcPr>
          <w:p>
            <w:pPr>
              <w:pStyle w:val="777"/>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t xml:space="preserve">如有</w:t>
            </w:r>
            <w:r>
              <w:rPr>
                <w:color w:val="000000"/>
                <w:sz w:val="24"/>
                <w:highlight w:val="none"/>
              </w:rPr>
              <w:t xml:space="preserve">）</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777"/>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777"/>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777"/>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777"/>
              <w:jc w:val="left"/>
              <w:widowControl/>
              <w:rPr>
                <w:color w:val="000000"/>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403" w:type="dxa"/>
            <w:vAlign w:val="center"/>
            <w:textDirection w:val="lrTb"/>
            <w:noWrap w:val="false"/>
          </w:tcPr>
          <w:p>
            <w:pPr>
              <w:pStyle w:val="777"/>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2</w:t>
            </w:r>
            <w:r>
              <w:rPr>
                <w:rFonts w:hint="eastAsia" w:eastAsia="宋体"/>
                <w:color w:val="000000"/>
                <w:sz w:val="24"/>
                <w:highlight w:val="none"/>
                <w:lang w:eastAsia="zh-CN"/>
              </w:rPr>
            </w:r>
            <w:r/>
          </w:p>
        </w:tc>
        <w:tc>
          <w:tcPr>
            <w:tcW w:w="975" w:type="dxa"/>
            <w:vAlign w:val="center"/>
            <w:textDirection w:val="lrTb"/>
            <w:noWrap w:val="false"/>
          </w:tcPr>
          <w:p>
            <w:pPr>
              <w:pStyle w:val="777"/>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3" w:type="dxa"/>
            <w:vAlign w:val="center"/>
            <w:textDirection w:val="lrTb"/>
            <w:noWrap w:val="false"/>
          </w:tcPr>
          <w:p>
            <w:pPr>
              <w:pStyle w:val="777"/>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75" w:type="dxa"/>
            <w:vAlign w:val="center"/>
            <w:textDirection w:val="lrTb"/>
            <w:noWrap w:val="false"/>
          </w:tcPr>
          <w:p>
            <w:pPr>
              <w:pStyle w:val="777"/>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777"/>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75" w:type="dxa"/>
            <w:vAlign w:val="center"/>
            <w:textDirection w:val="lrTb"/>
            <w:noWrap w:val="false"/>
          </w:tcPr>
          <w:p>
            <w:pPr>
              <w:pStyle w:val="777"/>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3" w:type="dxa"/>
            <w:vAlign w:val="center"/>
            <w:textDirection w:val="lrTb"/>
            <w:noWrap w:val="false"/>
          </w:tcPr>
          <w:p>
            <w:pPr>
              <w:pStyle w:val="777"/>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75" w:type="dxa"/>
            <w:vAlign w:val="center"/>
            <w:textDirection w:val="lrTb"/>
            <w:noWrap w:val="false"/>
          </w:tcPr>
          <w:p>
            <w:pPr>
              <w:pStyle w:val="777"/>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777"/>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777"/>
        <w:numPr>
          <w:ilvl w:val="0"/>
          <w:numId w:val="13"/>
        </w:numPr>
        <w:spacing w:line="360" w:lineRule="auto"/>
        <w:tabs>
          <w:tab w:val="left" w:pos="900" w:leader="none"/>
          <w:tab w:val="left" w:pos="1080" w:leader="none"/>
          <w:tab w:val="left" w:pos="1589" w:leader="none"/>
        </w:tabs>
        <w:rPr>
          <w:sz w:val="24"/>
          <w:highlight w:val="none"/>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777"/>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投标文件有关事项的澄清或者说明</w:t>
      </w:r>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2.1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sz w:val="24"/>
          <w:highlight w:val="none"/>
        </w:rPr>
        <w:t xml:space="preserve">。</w:t>
      </w:r>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b/>
          <w:bCs/>
          <w:sz w:val="24"/>
          <w:highlight w:val="none"/>
        </w:rPr>
        <w:t xml:space="preserve">无效投标处理</w:t>
      </w:r>
      <w:r>
        <w:rPr>
          <w:sz w:val="24"/>
          <w:highlight w:val="none"/>
        </w:rPr>
        <w:t xml:space="preserve">。</w:t>
      </w:r>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投标文件报价出现前后不一致的，按照下列规定修正：</w:t>
      </w:r>
      <w:r>
        <w:rPr>
          <w:sz w:val="24"/>
          <w:highlight w:val="none"/>
        </w:rPr>
      </w:r>
      <w:r/>
    </w:p>
    <w:p>
      <w:pPr>
        <w:pStyle w:val="777"/>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招标文件对于报价修正是否另有规定：</w:t>
      </w:r>
      <w:r>
        <w:rPr>
          <w:sz w:val="24"/>
          <w:highlight w:val="none"/>
        </w:rPr>
      </w:r>
      <w:r/>
    </w:p>
    <w:p>
      <w:pPr>
        <w:pStyle w:val="777"/>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rPr>
          <w:sz w:val="24"/>
          <w:highlight w:val="none"/>
          <w:u w:val="single"/>
        </w:rPr>
      </w:r>
      <w:r/>
    </w:p>
    <w:p>
      <w:pPr>
        <w:pStyle w:val="777"/>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□无，按下述2.4.2-2.4.7项规定修正。</w:t>
      </w:r>
      <w:r>
        <w:rPr>
          <w:sz w:val="24"/>
          <w:highlight w:val="none"/>
        </w:rPr>
      </w:r>
      <w:r/>
    </w:p>
    <w:p>
      <w:pPr>
        <w:pStyle w:val="777"/>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77"/>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77"/>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77"/>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77"/>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77"/>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rPr>
          <w:sz w:val="24"/>
          <w:highlight w:val="none"/>
        </w:rPr>
      </w:r>
      <w:r/>
    </w:p>
    <w:p>
      <w:pPr>
        <w:pStyle w:val="777"/>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rPr>
          <w:sz w:val="24"/>
          <w:highlight w:val="none"/>
        </w:rPr>
      </w:r>
      <w:r/>
    </w:p>
    <w:p>
      <w:pPr>
        <w:pStyle w:val="777"/>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rPr>
          <w:sz w:val="24"/>
          <w:highlight w:val="none"/>
        </w:rPr>
      </w:r>
      <w:r/>
    </w:p>
    <w:p>
      <w:pPr>
        <w:pStyle w:val="777"/>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777"/>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777"/>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sz w:val="24"/>
          <w:highlight w:val="none"/>
        </w:rPr>
      </w:r>
      <w:r/>
    </w:p>
    <w:p>
      <w:pPr>
        <w:pStyle w:val="777"/>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777"/>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rPr>
          <w:sz w:val="24"/>
          <w:highlight w:val="none"/>
        </w:rPr>
      </w:r>
      <w:r/>
    </w:p>
    <w:p>
      <w:pPr>
        <w:pStyle w:val="777"/>
        <w:numPr>
          <w:ilvl w:val="1"/>
          <w:numId w:val="12"/>
        </w:numPr>
        <w:ind w:left="1077" w:hanging="720"/>
        <w:spacing w:line="360" w:lineRule="auto"/>
        <w:tabs>
          <w:tab w:val="left" w:pos="1080" w:leader="none"/>
          <w:tab w:val="left" w:pos="1589" w:leader="none"/>
        </w:tabs>
        <w:rPr>
          <w:rFonts w:hint="eastAsia" w:ascii="Times New Roman" w:hAnsi="Times New Roman" w:eastAsia="宋体" w:cs="Times New Roman"/>
          <w:sz w:val="24"/>
          <w:highlight w:val="none"/>
        </w:rPr>
      </w:pPr>
      <w:r>
        <w:rPr>
          <w:sz w:val="24"/>
          <w:highlight w:val="none"/>
        </w:rPr>
        <w:t xml:space="preserve">若投标人同时属于小型或微型企业、监狱企业、残疾人福利性单位中的两种及以上，将不重复享受小微企业价格扣减的优惠政策。</w:t>
      </w:r>
      <w:r>
        <w:rPr>
          <w:rFonts w:hint="eastAsia" w:ascii="Times New Roman" w:hAnsi="Times New Roman" w:eastAsia="宋体" w:cs="Times New Roman"/>
          <w:sz w:val="24"/>
          <w:highlight w:val="none"/>
        </w:rPr>
        <w:t xml:space="preserve">评审过程中出现下列情形之一的，评审委员会应当启动异常低价投标（响应）审查程序：</w:t>
      </w:r>
      <w:r>
        <w:rPr>
          <w:rFonts w:hint="eastAsia" w:ascii="Times New Roman" w:hAnsi="Times New Roman" w:eastAsia="宋体" w:cs="Times New Roman"/>
          <w:sz w:val="24"/>
          <w:highlight w:val="none"/>
        </w:rPr>
      </w:r>
      <w:r/>
    </w:p>
    <w:p>
      <w:pPr>
        <w:pStyle w:val="777"/>
        <w:numPr>
          <w:ilvl w:val="0"/>
          <w:numId w:val="0"/>
        </w:numPr>
        <w:ind w:left="1135"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sz w:val="24"/>
          <w:highlight w:val="none"/>
        </w:rPr>
      </w:r>
      <w:r/>
    </w:p>
    <w:p>
      <w:pPr>
        <w:pStyle w:val="777"/>
        <w:numPr>
          <w:ilvl w:val="0"/>
          <w:numId w:val="0"/>
        </w:numPr>
        <w:ind w:left="1135"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sz w:val="24"/>
          <w:highlight w:val="none"/>
        </w:rPr>
      </w:r>
      <w:r/>
    </w:p>
    <w:p>
      <w:pPr>
        <w:pStyle w:val="777"/>
        <w:numPr>
          <w:ilvl w:val="0"/>
          <w:numId w:val="0"/>
        </w:numPr>
        <w:ind w:left="1135"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3.投标（响应）报价低于采购项目最高限价45%的，即投标（响应）报价&lt;采购项目最高限价×45%；</w:t>
      </w:r>
      <w:r>
        <w:rPr>
          <w:rFonts w:hint="eastAsia" w:ascii="宋体" w:hAnsi="宋体" w:eastAsia="宋体" w:cs="宋体"/>
          <w:sz w:val="24"/>
          <w:highlight w:val="none"/>
        </w:rPr>
      </w:r>
      <w:r/>
    </w:p>
    <w:p>
      <w:pPr>
        <w:pStyle w:val="777"/>
        <w:numPr>
          <w:ilvl w:val="0"/>
          <w:numId w:val="0"/>
        </w:numPr>
        <w:ind w:left="1135"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4.评审委员会基于专业判断，认为供应商报价过低，有可能影响产品质量或者不能诚信履约的其他情形。</w:t>
      </w:r>
      <w:r>
        <w:rPr>
          <w:rFonts w:hint="eastAsia" w:ascii="宋体" w:hAnsi="宋体" w:eastAsia="宋体" w:cs="宋体"/>
          <w:sz w:val="24"/>
          <w:highlight w:val="none"/>
        </w:rPr>
      </w:r>
      <w:r/>
    </w:p>
    <w:p>
      <w:pPr>
        <w:pStyle w:val="777"/>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采购人可以结合具体项目实际情况，提高上述第1项至第3项中启动异常低价投标（响应）审查的数值标准，但是最高不得超过65%。</w:t>
      </w:r>
      <w:r>
        <w:rPr>
          <w:rFonts w:hint="eastAsia"/>
          <w:sz w:val="24"/>
          <w:highlight w:val="none"/>
        </w:rPr>
      </w:r>
      <w:r/>
    </w:p>
    <w:p>
      <w:pPr>
        <w:pStyle w:val="777"/>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相关法律法规对供应商报价有规定的，从其规定。</w:t>
      </w:r>
      <w:r>
        <w:rPr>
          <w:rFonts w:hint="eastAsia"/>
          <w:sz w:val="24"/>
          <w:highlight w:val="none"/>
        </w:rPr>
      </w:r>
      <w:r/>
    </w:p>
    <w:p>
      <w:pPr>
        <w:pStyle w:val="777"/>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sz w:val="24"/>
          <w:highlight w:val="none"/>
        </w:rPr>
      </w:r>
      <w:r/>
    </w:p>
    <w:p>
      <w:pPr>
        <w:pStyle w:val="777"/>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sz w:val="24"/>
          <w:highlight w:val="none"/>
        </w:rPr>
      </w:r>
      <w:r/>
    </w:p>
    <w:p>
      <w:pPr>
        <w:pStyle w:val="777"/>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sz w:val="24"/>
          <w:highlight w:val="none"/>
        </w:rPr>
      </w:r>
      <w:r/>
    </w:p>
    <w:p>
      <w:pPr>
        <w:pStyle w:val="777"/>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sz w:val="24"/>
          <w:highlight w:val="none"/>
        </w:rPr>
      </w:r>
      <w:r/>
    </w:p>
    <w:p>
      <w:pPr>
        <w:pStyle w:val="777"/>
        <w:numPr>
          <w:ilvl w:val="0"/>
          <w:numId w:val="0"/>
        </w:numPr>
        <w:ind w:left="1135" w:firstLine="480"/>
        <w:spacing w:line="360" w:lineRule="auto"/>
        <w:tabs>
          <w:tab w:val="left" w:pos="1080" w:leader="none"/>
          <w:tab w:val="left" w:pos="1589" w:leader="none"/>
          <w:tab w:val="left" w:pos="2014" w:leader="none"/>
        </w:tabs>
        <w:rPr>
          <w:rFonts w:eastAsia="宋体"/>
          <w:sz w:val="24"/>
          <w:highlight w:val="none"/>
          <w:lang w:val="en-US" w:eastAsia="zh-CN"/>
        </w:rPr>
      </w:pPr>
      <w:r>
        <w:rPr>
          <w:rFonts w:hint="eastAsia"/>
          <w:sz w:val="24"/>
          <w:highlight w:val="none"/>
          <w:lang w:val="en-US" w:eastAsia="zh-CN"/>
        </w:rPr>
        <w:t xml:space="preserve">具体按照苏财购〔2026〕36号文件执行。</w:t>
      </w:r>
      <w:r>
        <w:rPr>
          <w:rFonts w:eastAsia="宋体"/>
          <w:sz w:val="24"/>
          <w:highlight w:val="none"/>
          <w:lang w:val="en-US" w:eastAsia="zh-CN"/>
        </w:rPr>
      </w:r>
      <w:r/>
    </w:p>
    <w:p>
      <w:pPr>
        <w:pStyle w:val="777"/>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投标文件的比较和评价</w:t>
      </w:r>
      <w:bookmarkEnd w:id="757"/>
      <w:r/>
      <w:bookmarkEnd w:id="758"/>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评标方法和评标标准</w:t>
      </w:r>
      <w:r>
        <w:rPr>
          <w:sz w:val="24"/>
          <w:highlight w:val="none"/>
        </w:rPr>
      </w:r>
      <w:r/>
    </w:p>
    <w:p>
      <w:pPr>
        <w:pStyle w:val="777"/>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本项目采用的评标方法为：</w:t>
      </w:r>
      <w:r>
        <w:rPr>
          <w:sz w:val="24"/>
          <w:highlight w:val="none"/>
        </w:rPr>
      </w:r>
      <w:r/>
    </w:p>
    <w:p>
      <w:pPr>
        <w:pStyle w:val="777"/>
        <w:ind w:left="1985"/>
        <w:spacing w:line="360" w:lineRule="auto"/>
        <w:tabs>
          <w:tab w:val="left" w:pos="900" w:leader="none"/>
          <w:tab w:val="left" w:pos="1589" w:leader="none"/>
          <w:tab w:val="left" w:pos="1701" w:leader="none"/>
        </w:tabs>
        <w:rPr>
          <w:sz w:val="24"/>
          <w:highlight w:val="none"/>
        </w:rPr>
      </w:pPr>
      <w:r>
        <w:rPr>
          <w:rFonts w:hint="eastAsia" w:ascii="宋体" w:hAnsi="宋体" w:cs="宋体"/>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rPr>
          <w:sz w:val="24"/>
          <w:highlight w:val="none"/>
        </w:rPr>
      </w:r>
      <w:r/>
    </w:p>
    <w:p>
      <w:pPr>
        <w:pStyle w:val="777"/>
        <w:ind w:left="1985"/>
        <w:spacing w:line="360" w:lineRule="auto"/>
        <w:tabs>
          <w:tab w:val="left" w:pos="900" w:leader="none"/>
          <w:tab w:val="left" w:pos="1589" w:leader="none"/>
          <w:tab w:val="left" w:pos="1701" w:leader="none"/>
        </w:tabs>
        <w:rPr>
          <w:sz w:val="24"/>
          <w:highlight w:val="none"/>
        </w:rPr>
      </w:pPr>
      <w:r>
        <w:rPr>
          <w:rFonts w:hint="eastAsia"/>
          <w:sz w:val="24"/>
          <w:highlight w:val="none"/>
          <w:lang w:eastAsia="zh-CN"/>
        </w:rPr>
        <w:t xml:space="preserve">□</w:t>
      </w:r>
      <w:r>
        <w:rPr>
          <w:sz w:val="24"/>
          <w:highlight w:val="none"/>
        </w:rPr>
        <w:t xml:space="preserve">最低评标价法，指投标文件满足招标文件全部实质性要求，且投标报价最低的投标人为中标候选人的评标方法。</w:t>
      </w:r>
      <w:r>
        <w:rPr>
          <w:sz w:val="24"/>
          <w:highlight w:val="none"/>
        </w:rPr>
      </w:r>
      <w:r/>
    </w:p>
    <w:p>
      <w:pPr>
        <w:pStyle w:val="777"/>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rPr>
          <w:sz w:val="24"/>
          <w:highlight w:val="none"/>
        </w:rPr>
      </w:r>
      <w:r/>
    </w:p>
    <w:p>
      <w:pPr>
        <w:pStyle w:val="777"/>
        <w:ind w:left="2035"/>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rPr>
          <w:sz w:val="24"/>
          <w:highlight w:val="none"/>
        </w:rPr>
      </w:r>
      <w:r/>
    </w:p>
    <w:p>
      <w:pPr>
        <w:pStyle w:val="777"/>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rPr>
          <w:sz w:val="24"/>
          <w:highlight w:val="none"/>
          <w:u w:val="single"/>
        </w:rPr>
      </w:r>
      <w:r/>
    </w:p>
    <w:p>
      <w:pPr>
        <w:pStyle w:val="777"/>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rPr>
          <w:sz w:val="24"/>
          <w:highlight w:val="none"/>
        </w:rPr>
      </w:r>
      <w:r/>
    </w:p>
    <w:p>
      <w:pPr>
        <w:pStyle w:val="777"/>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关于无线局域网认证产品政府采购清单中的产品，优先采购的具体规定（如涉及）_____。</w:t>
      </w:r>
      <w:r>
        <w:rPr>
          <w:sz w:val="24"/>
          <w:highlight w:val="none"/>
        </w:rPr>
      </w:r>
      <w:r/>
    </w:p>
    <w:p>
      <w:pPr>
        <w:pStyle w:val="777"/>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确定</w:t>
      </w:r>
      <w:bookmarkStart w:id="774" w:name="_Toc226309790"/>
      <w:r/>
      <w:bookmarkStart w:id="775" w:name="_Toc164229241"/>
      <w:r/>
      <w:bookmarkStart w:id="776" w:name="_Toc127161460"/>
      <w:r/>
      <w:bookmarkStart w:id="777" w:name="_Toc151193716"/>
      <w:r/>
      <w:bookmarkStart w:id="778" w:name="_Ref467307010"/>
      <w:r/>
      <w:bookmarkStart w:id="779" w:name="_Toc151193860"/>
      <w:r/>
      <w:bookmarkStart w:id="780" w:name="_Toc150480784"/>
      <w:r/>
      <w:bookmarkStart w:id="781" w:name="_Toc151190173"/>
      <w:r/>
      <w:bookmarkStart w:id="782" w:name="_Toc226965819"/>
      <w:r/>
      <w:bookmarkStart w:id="783" w:name="_Toc305158888"/>
      <w:r/>
      <w:bookmarkStart w:id="784" w:name="_Toc164351640"/>
      <w:r/>
      <w:bookmarkStart w:id="785" w:name="_Toc520356170"/>
      <w:r/>
      <w:bookmarkStart w:id="786" w:name="_Toc150774751"/>
      <w:r/>
      <w:bookmarkStart w:id="787" w:name="_Toc265228384"/>
      <w:r/>
      <w:bookmarkStart w:id="788" w:name="_Toc164229387"/>
      <w:r/>
      <w:bookmarkStart w:id="789" w:name="_Toc195842911"/>
      <w:r/>
      <w:bookmarkStart w:id="790" w:name="_Toc127151747"/>
      <w:r/>
      <w:bookmarkStart w:id="791" w:name="_Toc305158814"/>
      <w:r/>
      <w:bookmarkStart w:id="792" w:name="_Toc127151546"/>
      <w:r/>
      <w:bookmarkStart w:id="793" w:name="_Toc151193788"/>
      <w:r/>
      <w:bookmarkStart w:id="794" w:name="_Toc264969236"/>
      <w:r/>
      <w:bookmarkStart w:id="795" w:name="_Toc142311048"/>
      <w:r/>
      <w:bookmarkStart w:id="796" w:name="_Toc164608660"/>
      <w:r/>
      <w:bookmarkStart w:id="797" w:name="_Toc150509297"/>
      <w:r/>
      <w:bookmarkStart w:id="798" w:name="_Toc164608815"/>
      <w:r/>
      <w:bookmarkStart w:id="799" w:name="_Toc226965736"/>
      <w:r/>
      <w:bookmarkStart w:id="800" w:name="_Toc151193644"/>
      <w:r/>
      <w:bookmarkStart w:id="801" w:name="_Toc226337242"/>
      <w:r/>
      <w:bookmarkStart w:id="802" w:name="_Toc150774646"/>
      <w:r/>
      <w:bookmarkStart w:id="803" w:name="_Toc151193934"/>
      <w:r/>
      <w:bookmarkStart w:id="804" w:name="_Toc149720839"/>
      <w:r>
        <w:rPr>
          <w:sz w:val="24"/>
          <w:highlight w:val="none"/>
        </w:rPr>
        <w:t xml:space="preserve">中标候选人名单</w:t>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highlight w:val="none"/>
        </w:rPr>
      </w:r>
      <w:r/>
    </w:p>
    <w:p>
      <w:pPr>
        <w:pStyle w:val="816"/>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rPr>
          <w:rFonts w:ascii="Times New Roman" w:hAnsi="Times New Roman"/>
          <w:sz w:val="24"/>
          <w:szCs w:val="24"/>
          <w:highlight w:val="none"/>
        </w:rPr>
      </w:r>
      <w:r/>
    </w:p>
    <w:p>
      <w:pPr>
        <w:pStyle w:val="816"/>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□其他方式，具体要求：_____</w:t>
      </w:r>
      <w:r>
        <w:rPr>
          <w:rFonts w:ascii="Times New Roman" w:hAnsi="Times New Roman"/>
          <w:sz w:val="24"/>
          <w:szCs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777"/>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777"/>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777"/>
        <w:jc w:val="left"/>
        <w:widowControl/>
        <w:rPr>
          <w:b/>
          <w:sz w:val="24"/>
          <w:highlight w:val="none"/>
        </w:rPr>
      </w:pPr>
      <w:r>
        <w:rPr>
          <w:b/>
          <w:sz w:val="24"/>
          <w:highlight w:val="none"/>
        </w:rPr>
        <w:br w:type="page" w:clear="all"/>
      </w:r>
      <w:r>
        <w:rPr>
          <w:b/>
          <w:sz w:val="24"/>
          <w:highlight w:val="none"/>
        </w:rPr>
      </w:r>
      <w:r/>
    </w:p>
    <w:p>
      <w:pPr>
        <w:pStyle w:val="777"/>
        <w:jc w:val="center"/>
        <w:spacing w:line="360" w:lineRule="auto"/>
        <w:tabs>
          <w:tab w:val="left" w:pos="360" w:leader="none"/>
          <w:tab w:val="left" w:pos="900" w:leader="none"/>
        </w:tabs>
        <w:rPr>
          <w:b/>
          <w:highlight w:val="none"/>
        </w:rPr>
        <w:outlineLvl w:val="1"/>
      </w:pPr>
      <w:r>
        <w:rPr>
          <w:b/>
          <w:sz w:val="24"/>
          <w:highlight w:val="none"/>
        </w:rPr>
        <w:t xml:space="preserve">二、评标标准</w:t>
      </w:r>
      <w:r>
        <w:rPr>
          <w:b/>
          <w:highlight w:val="none"/>
        </w:rPr>
      </w:r>
      <w:r/>
    </w:p>
    <w:p>
      <w:pPr>
        <w:pStyle w:val="777"/>
        <w:spacing w:line="360" w:lineRule="auto"/>
        <w:tabs>
          <w:tab w:val="left" w:pos="360" w:leader="none"/>
          <w:tab w:val="left" w:pos="900" w:leader="none"/>
          <w:tab w:val="left" w:pos="1080" w:leader="none"/>
          <w:tab w:val="left" w:pos="2014" w:leader="none"/>
        </w:tabs>
        <w:rPr>
          <w:sz w:val="24"/>
          <w:highlight w:val="none"/>
        </w:rPr>
      </w:pPr>
      <w:r>
        <w:rPr>
          <w:sz w:val="24"/>
          <w:highlight w:val="none"/>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791"/>
        <w:gridCol w:w="4305"/>
        <w:gridCol w:w="2235"/>
      </w:tblGrid>
      <w:tr>
        <w:trPr>
          <w:trHeight w:val="468"/>
        </w:trPr>
        <w:tc>
          <w:tcPr>
            <w:tcW w:w="835" w:type="dxa"/>
            <w:vAlign w:val="center"/>
            <w:textDirection w:val="lrTb"/>
            <w:noWrap w:val="false"/>
          </w:tcPr>
          <w:p>
            <w:pPr>
              <w:pStyle w:val="777"/>
              <w:ind w:firstLine="28"/>
              <w:jc w:val="center"/>
              <w:rPr>
                <w:b/>
                <w:sz w:val="24"/>
                <w:highlight w:val="none"/>
              </w:rPr>
            </w:pPr>
            <w:r>
              <w:rPr>
                <w:b/>
                <w:sz w:val="24"/>
                <w:highlight w:val="none"/>
              </w:rPr>
              <w:t xml:space="preserve">序号</w:t>
            </w:r>
            <w:r>
              <w:rPr>
                <w:b/>
                <w:sz w:val="24"/>
                <w:highlight w:val="none"/>
              </w:rPr>
            </w:r>
            <w:r/>
          </w:p>
        </w:tc>
        <w:tc>
          <w:tcPr>
            <w:tcW w:w="1462" w:type="dxa"/>
            <w:vAlign w:val="center"/>
            <w:textDirection w:val="lrTb"/>
            <w:noWrap w:val="false"/>
          </w:tcPr>
          <w:p>
            <w:pPr>
              <w:pStyle w:val="777"/>
              <w:ind w:firstLine="28"/>
              <w:jc w:val="center"/>
              <w:rPr>
                <w:b/>
                <w:sz w:val="24"/>
                <w:highlight w:val="none"/>
              </w:rPr>
            </w:pPr>
            <w:r>
              <w:rPr>
                <w:b/>
                <w:sz w:val="24"/>
                <w:highlight w:val="none"/>
              </w:rPr>
              <w:t xml:space="preserve">评分因素</w:t>
            </w:r>
            <w:r>
              <w:rPr>
                <w:b/>
                <w:sz w:val="24"/>
                <w:highlight w:val="none"/>
              </w:rPr>
            </w:r>
            <w:r/>
          </w:p>
        </w:tc>
        <w:tc>
          <w:tcPr>
            <w:tcW w:w="791" w:type="dxa"/>
            <w:vAlign w:val="center"/>
            <w:textDirection w:val="lrTb"/>
            <w:noWrap w:val="false"/>
          </w:tcPr>
          <w:p>
            <w:pPr>
              <w:pStyle w:val="777"/>
              <w:ind w:firstLine="28"/>
              <w:jc w:val="center"/>
              <w:rPr>
                <w:b/>
                <w:sz w:val="24"/>
                <w:highlight w:val="none"/>
              </w:rPr>
            </w:pPr>
            <w:r>
              <w:rPr>
                <w:b/>
                <w:sz w:val="24"/>
                <w:highlight w:val="none"/>
              </w:rPr>
              <w:t xml:space="preserve">分值</w:t>
            </w:r>
            <w:r>
              <w:rPr>
                <w:b/>
                <w:sz w:val="24"/>
                <w:highlight w:val="none"/>
              </w:rPr>
            </w:r>
            <w:r/>
          </w:p>
        </w:tc>
        <w:tc>
          <w:tcPr>
            <w:tcW w:w="4305" w:type="dxa"/>
            <w:vAlign w:val="center"/>
            <w:textDirection w:val="lrTb"/>
            <w:noWrap w:val="false"/>
          </w:tcPr>
          <w:p>
            <w:pPr>
              <w:pStyle w:val="777"/>
              <w:ind w:firstLine="28"/>
              <w:jc w:val="center"/>
              <w:rPr>
                <w:b/>
                <w:sz w:val="24"/>
                <w:highlight w:val="none"/>
              </w:rPr>
            </w:pPr>
            <w:r>
              <w:rPr>
                <w:b/>
                <w:sz w:val="24"/>
                <w:highlight w:val="none"/>
              </w:rPr>
              <w:t xml:space="preserve">评分标准</w:t>
            </w:r>
            <w:r>
              <w:rPr>
                <w:b/>
                <w:sz w:val="24"/>
                <w:highlight w:val="none"/>
              </w:rPr>
            </w:r>
            <w:r/>
          </w:p>
        </w:tc>
        <w:tc>
          <w:tcPr>
            <w:tcW w:w="2235" w:type="dxa"/>
            <w:vAlign w:val="center"/>
            <w:textDirection w:val="lrTb"/>
            <w:noWrap w:val="false"/>
          </w:tcPr>
          <w:p>
            <w:pPr>
              <w:pStyle w:val="1025"/>
              <w:spacing w:before="0" w:after="0" w:line="240" w:lineRule="auto"/>
              <w:rPr>
                <w:rFonts w:eastAsia="宋体"/>
                <w:szCs w:val="24"/>
                <w:highlight w:val="none"/>
              </w:rPr>
            </w:pPr>
            <w:r>
              <w:rPr>
                <w:rFonts w:eastAsia="宋体"/>
                <w:szCs w:val="24"/>
                <w:highlight w:val="none"/>
              </w:rPr>
              <w:t xml:space="preserve">说明</w:t>
            </w:r>
            <w:r>
              <w:rPr>
                <w:rFonts w:eastAsia="宋体"/>
                <w:szCs w:val="24"/>
                <w:highlight w:val="none"/>
              </w:rPr>
            </w:r>
            <w:r/>
          </w:p>
        </w:tc>
      </w:tr>
      <w:tr>
        <w:trPr>
          <w:trHeight w:val="2243"/>
        </w:trPr>
        <w:tc>
          <w:tcPr>
            <w:tcW w:w="835" w:type="dxa"/>
            <w:vAlign w:val="center"/>
            <w:textDirection w:val="lrTb"/>
            <w:noWrap w:val="false"/>
          </w:tcPr>
          <w:p>
            <w:pPr>
              <w:pStyle w:val="777"/>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rPr>
            </w:r>
            <w:r/>
          </w:p>
        </w:tc>
        <w:tc>
          <w:tcPr>
            <w:tcW w:w="1462" w:type="dxa"/>
            <w:vAlign w:val="center"/>
            <w:textDirection w:val="lrTb"/>
            <w:noWrap w:val="false"/>
          </w:tcPr>
          <w:p>
            <w:pPr>
              <w:pStyle w:val="777"/>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价格分</w:t>
            </w:r>
            <w:r>
              <w:rPr>
                <w:rFonts w:hint="eastAsia" w:ascii="Times New Roman" w:hAnsi="Times New Roman" w:eastAsia="宋体" w:cs="Times New Roman"/>
                <w:sz w:val="24"/>
                <w:highlight w:val="none"/>
              </w:rPr>
            </w:r>
            <w:r/>
          </w:p>
        </w:tc>
        <w:tc>
          <w:tcPr>
            <w:tcW w:w="791" w:type="dxa"/>
            <w:vAlign w:val="center"/>
            <w:textDirection w:val="lrTb"/>
            <w:noWrap w:val="false"/>
          </w:tcPr>
          <w:p>
            <w:pPr>
              <w:pStyle w:val="777"/>
              <w:ind w:firstLine="28"/>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30</w:t>
            </w:r>
            <w:r>
              <w:rPr>
                <w:rFonts w:ascii="宋体" w:hAnsi="宋体" w:eastAsia="宋体" w:cs="宋体"/>
                <w:sz w:val="24"/>
                <w:highlight w:val="none"/>
                <w:lang w:val="en-US" w:eastAsia="zh-CN"/>
              </w:rPr>
            </w:r>
            <w:r/>
          </w:p>
        </w:tc>
        <w:tc>
          <w:tcPr>
            <w:tcW w:w="4305" w:type="dxa"/>
            <w:vAlign w:val="center"/>
            <w:textDirection w:val="lrTb"/>
            <w:noWrap w:val="false"/>
          </w:tcPr>
          <w:p>
            <w:pPr>
              <w:pStyle w:val="777"/>
              <w:rPr>
                <w:sz w:val="24"/>
                <w:highlight w:val="none"/>
              </w:rPr>
            </w:pPr>
            <w:r>
              <w:rPr>
                <w:sz w:val="24"/>
                <w:highlight w:val="none"/>
              </w:rPr>
              <w:t xml:space="preserve">满足招标文件要求且投标</w:t>
            </w:r>
            <w:r>
              <w:rPr>
                <w:rFonts w:hint="eastAsia"/>
                <w:sz w:val="24"/>
                <w:highlight w:val="none"/>
                <w:lang w:val="en-US" w:eastAsia="zh-CN"/>
              </w:rPr>
              <w:t xml:space="preserve">优惠率</w:t>
            </w:r>
            <w:r>
              <w:rPr>
                <w:sz w:val="24"/>
                <w:highlight w:val="none"/>
              </w:rPr>
              <w:t xml:space="preserve">最</w:t>
            </w:r>
            <w:r>
              <w:rPr>
                <w:rFonts w:hint="eastAsia"/>
                <w:sz w:val="24"/>
                <w:highlight w:val="none"/>
                <w:lang w:val="en-US" w:eastAsia="zh-CN"/>
              </w:rPr>
              <w:t xml:space="preserve">高</w:t>
            </w:r>
            <w:r>
              <w:rPr>
                <w:sz w:val="24"/>
                <w:highlight w:val="none"/>
              </w:rPr>
              <w:t xml:space="preserve">的投标报价为评标基准价，其价格分为满分。其他投标人的价格分统一按照下列公式计算：</w:t>
            </w:r>
            <w:r>
              <w:rPr>
                <w:sz w:val="24"/>
                <w:highlight w:val="none"/>
              </w:rPr>
            </w:r>
            <w:r/>
          </w:p>
          <w:p>
            <w:pPr>
              <w:pStyle w:val="777"/>
              <w:rPr>
                <w:sz w:val="24"/>
                <w:highlight w:val="none"/>
              </w:rPr>
            </w:pPr>
            <w:r>
              <w:rPr>
                <w:sz w:val="24"/>
                <w:highlight w:val="none"/>
              </w:rPr>
              <w:t xml:space="preserve">投标报价得分＝（</w:t>
            </w:r>
            <w:r>
              <w:rPr>
                <w:rFonts w:hint="eastAsia"/>
                <w:sz w:val="24"/>
                <w:highlight w:val="none"/>
                <w:lang w:eastAsia="zh-CN"/>
              </w:rPr>
              <w:t xml:space="preserve">（</w:t>
            </w:r>
            <w:r>
              <w:rPr>
                <w:rFonts w:hint="eastAsia"/>
                <w:sz w:val="24"/>
                <w:highlight w:val="none"/>
                <w:lang w:val="en-US" w:eastAsia="zh-CN"/>
              </w:rPr>
              <w:t xml:space="preserve">1-</w:t>
            </w:r>
            <w:r>
              <w:rPr>
                <w:sz w:val="24"/>
                <w:highlight w:val="none"/>
              </w:rPr>
              <w:t xml:space="preserve">评标基准价</w:t>
            </w:r>
            <w:r>
              <w:rPr>
                <w:rFonts w:hint="eastAsia"/>
                <w:sz w:val="24"/>
                <w:highlight w:val="none"/>
                <w:lang w:eastAsia="zh-CN"/>
              </w:rPr>
              <w:t xml:space="preserve">）</w:t>
            </w:r>
            <w:r>
              <w:rPr>
                <w:sz w:val="24"/>
                <w:highlight w:val="none"/>
              </w:rPr>
              <w:t xml:space="preserve">/</w:t>
            </w:r>
            <w:r>
              <w:rPr>
                <w:rFonts w:hint="eastAsia"/>
                <w:sz w:val="24"/>
                <w:highlight w:val="none"/>
                <w:lang w:eastAsia="zh-CN"/>
              </w:rPr>
              <w:t xml:space="preserve">（</w:t>
            </w:r>
            <w:r>
              <w:rPr>
                <w:rFonts w:hint="eastAsia"/>
                <w:sz w:val="24"/>
                <w:highlight w:val="none"/>
                <w:lang w:val="en-US" w:eastAsia="zh-CN"/>
              </w:rPr>
              <w:t xml:space="preserve">1-</w:t>
            </w:r>
            <w:r>
              <w:rPr>
                <w:sz w:val="24"/>
                <w:highlight w:val="none"/>
              </w:rPr>
              <w:t xml:space="preserve">投标报价）</w:t>
            </w:r>
            <w:r>
              <w:rPr>
                <w:rFonts w:hint="eastAsia"/>
                <w:sz w:val="24"/>
                <w:highlight w:val="none"/>
                <w:lang w:eastAsia="zh-CN"/>
              </w:rPr>
              <w:t xml:space="preserve">）</w:t>
            </w:r>
            <w:r>
              <w:rPr>
                <w:sz w:val="24"/>
                <w:highlight w:val="none"/>
              </w:rPr>
              <w:t xml:space="preserve">×分值</w:t>
            </w:r>
            <w:r>
              <w:rPr>
                <w:rFonts w:hint="eastAsia"/>
                <w:sz w:val="24"/>
                <w:highlight w:val="none"/>
                <w:lang w:eastAsia="zh-CN"/>
              </w:rPr>
              <w:t xml:space="preserve">（</w:t>
            </w:r>
            <w:r>
              <w:rPr>
                <w:rFonts w:hint="eastAsia"/>
                <w:sz w:val="24"/>
                <w:highlight w:val="none"/>
                <w:lang w:val="en-US" w:eastAsia="zh-CN"/>
              </w:rPr>
              <w:t xml:space="preserve">30</w:t>
            </w:r>
            <w:r>
              <w:rPr>
                <w:rFonts w:hint="eastAsia"/>
                <w:sz w:val="24"/>
                <w:highlight w:val="none"/>
                <w:lang w:eastAsia="zh-CN"/>
              </w:rPr>
              <w:t xml:space="preserve">）</w:t>
            </w:r>
            <w:r>
              <w:rPr>
                <w:sz w:val="24"/>
                <w:highlight w:val="none"/>
              </w:rPr>
              <w:t xml:space="preserve">。</w:t>
            </w:r>
            <w:r>
              <w:rPr>
                <w:sz w:val="24"/>
                <w:highlight w:val="none"/>
              </w:rPr>
            </w:r>
            <w:r/>
          </w:p>
        </w:tc>
        <w:tc>
          <w:tcPr>
            <w:tcW w:w="2235" w:type="dxa"/>
            <w:vAlign w:val="center"/>
            <w:textDirection w:val="lrTb"/>
            <w:noWrap w:val="false"/>
          </w:tcPr>
          <w:p>
            <w:pPr>
              <w:pStyle w:val="777"/>
              <w:ind w:left="-38"/>
              <w:rPr>
                <w:sz w:val="24"/>
                <w:highlight w:val="none"/>
              </w:rPr>
            </w:pPr>
            <w:r>
              <w:rPr>
                <w:rFonts w:hint="eastAsia"/>
                <w:sz w:val="24"/>
                <w:highlight w:val="none"/>
              </w:rPr>
              <w:t xml:space="preserve">此处投标报价指经过报价修正，及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报价</w:t>
            </w:r>
            <w:r>
              <w:rPr>
                <w:sz w:val="24"/>
                <w:highlight w:val="none"/>
              </w:rPr>
              <w:t xml:space="preserve">，详见第四章《评标方法和评标标准》</w:t>
            </w:r>
            <w:r>
              <w:rPr>
                <w:rFonts w:hint="eastAsia"/>
                <w:sz w:val="24"/>
                <w:highlight w:val="none"/>
              </w:rPr>
              <w:t xml:space="preserve">2</w:t>
            </w:r>
            <w:r>
              <w:rPr>
                <w:sz w:val="24"/>
                <w:highlight w:val="none"/>
              </w:rPr>
              <w:t xml:space="preserve">.4</w:t>
            </w:r>
            <w:r>
              <w:rPr>
                <w:rFonts w:hint="eastAsia"/>
                <w:sz w:val="24"/>
                <w:highlight w:val="none"/>
              </w:rPr>
              <w:t xml:space="preserve">及</w:t>
            </w:r>
            <w:r>
              <w:rPr>
                <w:sz w:val="24"/>
                <w:highlight w:val="none"/>
              </w:rPr>
              <w:t xml:space="preserve">2.5。</w:t>
            </w:r>
            <w:r>
              <w:rPr>
                <w:sz w:val="24"/>
                <w:highlight w:val="none"/>
              </w:rPr>
            </w:r>
            <w:r/>
          </w:p>
        </w:tc>
      </w:tr>
      <w:tr>
        <w:trPr>
          <w:trHeight w:val="421"/>
        </w:trPr>
        <w:tc>
          <w:tcPr>
            <w:tcW w:w="835" w:type="dxa"/>
            <w:vAlign w:val="center"/>
            <w:textDirection w:val="lrTb"/>
            <w:noWrap w:val="false"/>
          </w:tcPr>
          <w:p>
            <w:pPr>
              <w:pStyle w:val="777"/>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rPr>
            </w:r>
            <w:r/>
          </w:p>
        </w:tc>
        <w:tc>
          <w:tcPr>
            <w:tcW w:w="1462" w:type="dxa"/>
            <w:vAlign w:val="center"/>
            <w:textDirection w:val="lrTb"/>
            <w:noWrap w:val="false"/>
          </w:tcPr>
          <w:p>
            <w:pPr>
              <w:pStyle w:val="777"/>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客</w:t>
            </w:r>
            <w:r>
              <w:rPr>
                <w:rFonts w:hint="eastAsia" w:ascii="Times New Roman" w:hAnsi="Times New Roman" w:eastAsia="宋体" w:cs="Times New Roman"/>
                <w:sz w:val="24"/>
                <w:highlight w:val="none"/>
              </w:rPr>
              <w:t xml:space="preserve">观分</w:t>
            </w:r>
            <w:r>
              <w:rPr>
                <w:rFonts w:hint="eastAsia" w:ascii="Times New Roman" w:hAnsi="Times New Roman" w:eastAsia="宋体" w:cs="Times New Roman"/>
                <w:sz w:val="24"/>
                <w:highlight w:val="none"/>
              </w:rPr>
            </w:r>
            <w:r/>
          </w:p>
        </w:tc>
        <w:tc>
          <w:tcPr>
            <w:tcW w:w="791" w:type="dxa"/>
            <w:vAlign w:val="center"/>
            <w:textDirection w:val="lrTb"/>
            <w:noWrap w:val="false"/>
          </w:tcPr>
          <w:p>
            <w:pPr>
              <w:pStyle w:val="777"/>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30</w:t>
            </w:r>
            <w:r>
              <w:rPr>
                <w:rFonts w:ascii="宋体" w:hAnsi="宋体" w:eastAsia="宋体" w:cs="宋体"/>
                <w:sz w:val="24"/>
                <w:highlight w:val="none"/>
                <w:lang w:val="en-US" w:eastAsia="zh-CN"/>
              </w:rPr>
            </w:r>
            <w:r/>
          </w:p>
        </w:tc>
        <w:tc>
          <w:tcPr>
            <w:tcW w:w="4305" w:type="dxa"/>
            <w:vAlign w:val="center"/>
            <w:textDirection w:val="lrTb"/>
            <w:noWrap w:val="false"/>
          </w:tcPr>
          <w:p>
            <w:pPr>
              <w:pStyle w:val="777"/>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r>
            <w:r/>
          </w:p>
        </w:tc>
        <w:tc>
          <w:tcPr>
            <w:tcW w:w="2235" w:type="dxa"/>
            <w:vAlign w:val="center"/>
            <w:textDirection w:val="lrTb"/>
            <w:noWrap w:val="false"/>
          </w:tcPr>
          <w:p>
            <w:pPr>
              <w:pStyle w:val="777"/>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4231"/>
        </w:trPr>
        <w:tc>
          <w:tcPr>
            <w:tcW w:w="835" w:type="dxa"/>
            <w:vAlign w:val="center"/>
            <w:textDirection w:val="lrTb"/>
            <w:noWrap w:val="false"/>
          </w:tcPr>
          <w:p>
            <w:pPr>
              <w:pStyle w:val="777"/>
              <w:jc w:val="center"/>
              <w:rPr>
                <w:rFonts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2.1</w:t>
            </w:r>
            <w:r>
              <w:rPr>
                <w:rFonts w:ascii="Times New Roman" w:hAnsi="Times New Roman" w:eastAsia="宋体" w:cs="Times New Roman"/>
                <w:sz w:val="24"/>
                <w:highlight w:val="none"/>
                <w:lang w:val="en-US" w:eastAsia="zh-CN"/>
              </w:rPr>
            </w:r>
            <w:r/>
          </w:p>
        </w:tc>
        <w:tc>
          <w:tcPr>
            <w:tcW w:w="1462" w:type="dxa"/>
            <w:vAlign w:val="center"/>
            <w:textDirection w:val="lrTb"/>
            <w:noWrap w:val="false"/>
          </w:tcPr>
          <w:p>
            <w:pPr>
              <w:pStyle w:val="1033"/>
              <w:numPr>
                <w:ilvl w:val="0"/>
                <w:numId w:val="0"/>
              </w:numPr>
              <w:ind w:left="0" w:firstLine="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资质能力</w:t>
            </w:r>
            <w:r>
              <w:rPr>
                <w:rFonts w:hint="eastAsia" w:ascii="宋体" w:hAnsi="宋体" w:eastAsia="宋体" w:cs="宋体"/>
                <w:sz w:val="24"/>
                <w:highlight w:val="none"/>
                <w:lang w:val="en-US" w:eastAsia="zh-CN"/>
              </w:rPr>
            </w:r>
            <w:r/>
          </w:p>
        </w:tc>
        <w:tc>
          <w:tcPr>
            <w:tcW w:w="791" w:type="dxa"/>
            <w:vAlign w:val="center"/>
            <w:textDirection w:val="lrTb"/>
            <w:noWrap w:val="false"/>
          </w:tcPr>
          <w:p>
            <w:pPr>
              <w:pStyle w:val="1033"/>
              <w:numPr>
                <w:ilvl w:val="0"/>
                <w:numId w:val="0"/>
              </w:numPr>
              <w:ind w:left="0" w:firstLine="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ascii="宋体" w:hAnsi="宋体" w:eastAsia="宋体" w:cs="宋体"/>
                <w:sz w:val="24"/>
                <w:highlight w:val="none"/>
                <w:lang w:val="en-US" w:eastAsia="zh-CN"/>
              </w:rPr>
            </w:r>
            <w:r/>
          </w:p>
        </w:tc>
        <w:tc>
          <w:tcPr>
            <w:tcW w:w="4305" w:type="dxa"/>
            <w:vAlign w:val="center"/>
            <w:textDirection w:val="lrTb"/>
            <w:noWrap w:val="false"/>
          </w:tcPr>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投标人的实验室获得中国合格评定认可委员会认可（CNAS），提供有效证明材料得1分，最高得1分。</w:t>
            </w:r>
            <w:r>
              <w:rPr>
                <w:rFonts w:hint="eastAsia" w:ascii="宋体" w:hAnsi="宋体" w:eastAsia="宋体" w:cs="宋体"/>
                <w:sz w:val="24"/>
                <w:highlight w:val="none"/>
                <w:lang w:val="en-US" w:eastAsia="zh-CN"/>
              </w:rPr>
            </w:r>
            <w:r/>
          </w:p>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zh-TW" w:eastAsia="zh-TW"/>
              </w:rPr>
              <w:t xml:space="preserve">具有质量管理体系认证证书的得1分；具有环境管理体系认证证书的得1分</w:t>
            </w:r>
            <w:r>
              <w:rPr>
                <w:rFonts w:hint="eastAsia" w:ascii="宋体" w:hAnsi="宋体" w:eastAsia="宋体" w:cs="宋体"/>
                <w:sz w:val="24"/>
                <w:highlight w:val="none"/>
                <w:lang w:val="zh-TW" w:eastAsia="zh-CN"/>
              </w:rPr>
              <w:t xml:space="preserve">；</w:t>
            </w:r>
            <w:r>
              <w:rPr>
                <w:rFonts w:hint="eastAsia" w:ascii="宋体" w:hAnsi="宋体" w:eastAsia="宋体" w:cs="宋体"/>
                <w:sz w:val="24"/>
                <w:highlight w:val="none"/>
                <w:lang w:val="en-US" w:eastAsia="zh-CN"/>
              </w:rPr>
              <w:t xml:space="preserve">具有职业健康安全管理体系认证证书的得1分，最高得3分。</w:t>
            </w:r>
            <w:r>
              <w:rPr>
                <w:rFonts w:hint="eastAsia" w:ascii="宋体" w:hAnsi="宋体" w:eastAsia="宋体" w:cs="宋体"/>
                <w:sz w:val="24"/>
                <w:highlight w:val="none"/>
                <w:lang w:val="en-US" w:eastAsia="zh-CN"/>
              </w:rPr>
            </w:r>
            <w:r/>
          </w:p>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 xml:space="preserve">注：本项最高得4分。提供相关证书扫描件并加盖公章，以上证书均为有效期内，否则不得分。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7"/>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3856"/>
        </w:trPr>
        <w:tc>
          <w:tcPr>
            <w:tcW w:w="835" w:type="dxa"/>
            <w:vAlign w:val="center"/>
            <w:textDirection w:val="lrTb"/>
            <w:noWrap w:val="false"/>
          </w:tcPr>
          <w:p>
            <w:pPr>
              <w:pStyle w:val="777"/>
              <w:jc w:val="center"/>
              <w:rPr>
                <w:rFonts w:hint="eastAsia" w:ascii="Times New Roman" w:hAnsi="Times New Roman" w:eastAsia="宋体" w:cs="Times New Roman"/>
                <w:sz w:val="24"/>
                <w:highlight w:val="none"/>
                <w:lang w:eastAsia="zh-CN"/>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2</w:t>
            </w:r>
            <w:r>
              <w:rPr>
                <w:rFonts w:hint="eastAsia" w:ascii="Times New Roman" w:hAnsi="Times New Roman" w:eastAsia="宋体" w:cs="Times New Roman"/>
                <w:sz w:val="24"/>
                <w:highlight w:val="none"/>
                <w:lang w:eastAsia="zh-CN"/>
              </w:rPr>
            </w:r>
            <w:r/>
          </w:p>
        </w:tc>
        <w:tc>
          <w:tcPr>
            <w:tcW w:w="1462" w:type="dxa"/>
            <w:vAlign w:val="center"/>
            <w:textDirection w:val="lrTb"/>
            <w:noWrap w:val="false"/>
          </w:tcPr>
          <w:p>
            <w:pPr>
              <w:pStyle w:val="1033"/>
              <w:numPr>
                <w:ilvl w:val="0"/>
                <w:numId w:val="0"/>
              </w:numPr>
              <w:ind w:left="0" w:firstLine="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监测能力</w:t>
            </w:r>
            <w:r>
              <w:rPr>
                <w:rFonts w:ascii="宋体" w:hAnsi="宋体" w:eastAsia="宋体" w:cs="宋体"/>
                <w:sz w:val="24"/>
                <w:highlight w:val="none"/>
                <w:lang w:val="en-US" w:eastAsia="zh-CN"/>
              </w:rPr>
            </w:r>
            <w:r/>
          </w:p>
        </w:tc>
        <w:tc>
          <w:tcPr>
            <w:tcW w:w="791" w:type="dxa"/>
            <w:vAlign w:val="center"/>
            <w:textDirection w:val="lrTb"/>
            <w:noWrap w:val="false"/>
          </w:tcPr>
          <w:p>
            <w:pPr>
              <w:pStyle w:val="1033"/>
              <w:numPr>
                <w:ilvl w:val="0"/>
                <w:numId w:val="0"/>
              </w:numPr>
              <w:ind w:left="0" w:firstLine="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截至本项目开标之日投标人通过省级及以上质量监督技术部门批准的检验检测机构资质认定环境类监测项目数在300（含）项以上的得6分，200（含）-300（不含）项之间的得4分，100（含）-200（不含）项之间的得2分，低于100项不得分。此项最多6分。</w:t>
            </w:r>
            <w:r>
              <w:rPr>
                <w:rFonts w:hint="eastAsia" w:ascii="宋体" w:hAnsi="宋体" w:eastAsia="宋体" w:cs="宋体"/>
                <w:sz w:val="24"/>
                <w:highlight w:val="none"/>
                <w:lang w:val="en-US" w:eastAsia="zh-CN"/>
              </w:rPr>
            </w:r>
            <w:r/>
          </w:p>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 xml:space="preserve">注：提供检验检测机构</w:t>
            </w:r>
            <w:r>
              <w:rPr>
                <w:rFonts w:ascii="宋体" w:hAnsi="宋体" w:eastAsia="宋体" w:cs="宋体"/>
                <w:b/>
                <w:bCs/>
                <w:sz w:val="24"/>
                <w:highlight w:val="none"/>
                <w:lang w:val="en-US" w:eastAsia="zh-CN"/>
              </w:rPr>
              <w:t xml:space="preserve">资质认定证书附表</w:t>
            </w:r>
            <w:r>
              <w:rPr>
                <w:rFonts w:hint="eastAsia" w:ascii="宋体" w:hAnsi="宋体" w:eastAsia="宋体" w:cs="宋体"/>
                <w:b/>
                <w:bCs/>
                <w:sz w:val="24"/>
                <w:highlight w:val="none"/>
                <w:lang w:val="en-US" w:eastAsia="zh-CN"/>
              </w:rPr>
              <w:t xml:space="preserve">扫描件并加盖公章，否则不得分。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7"/>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103"/>
        </w:trPr>
        <w:tc>
          <w:tcPr>
            <w:tcW w:w="835" w:type="dxa"/>
            <w:vAlign w:val="center"/>
            <w:textDirection w:val="lrTb"/>
            <w:noWrap w:val="false"/>
          </w:tcPr>
          <w:p>
            <w:pPr>
              <w:pStyle w:val="777"/>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2.3</w:t>
            </w:r>
            <w:r>
              <w:rPr>
                <w:rFonts w:ascii="宋体" w:hAnsi="宋体" w:eastAsia="宋体" w:cs="宋体"/>
                <w:sz w:val="24"/>
                <w:szCs w:val="24"/>
                <w:highlight w:val="none"/>
                <w:lang w:val="en-US" w:eastAsia="zh-CN" w:bidi="ar-SA"/>
              </w:rPr>
            </w:r>
            <w:r/>
          </w:p>
        </w:tc>
        <w:tc>
          <w:tcPr>
            <w:tcW w:w="1462" w:type="dxa"/>
            <w:vAlign w:val="center"/>
            <w:textDirection w:val="lrTb"/>
            <w:noWrap w:val="false"/>
          </w:tcPr>
          <w:p>
            <w:pPr>
              <w:pStyle w:val="1033"/>
              <w:numPr>
                <w:ilvl w:val="0"/>
                <w:numId w:val="0"/>
              </w:numPr>
              <w:ind w:left="0" w:firstLine="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仪器设备</w:t>
            </w:r>
            <w:r>
              <w:rPr>
                <w:rFonts w:hint="eastAsia" w:ascii="宋体" w:hAnsi="宋体" w:eastAsia="宋体" w:cs="宋体"/>
                <w:sz w:val="24"/>
                <w:highlight w:val="none"/>
                <w:lang w:val="en-US" w:eastAsia="zh-CN"/>
              </w:rPr>
            </w:r>
            <w:r/>
          </w:p>
        </w:tc>
        <w:tc>
          <w:tcPr>
            <w:tcW w:w="791" w:type="dxa"/>
            <w:vAlign w:val="center"/>
            <w:textDirection w:val="lrTb"/>
            <w:noWrap w:val="false"/>
          </w:tcPr>
          <w:p>
            <w:pPr>
              <w:pStyle w:val="1033"/>
              <w:numPr>
                <w:ilvl w:val="0"/>
                <w:numId w:val="0"/>
              </w:numPr>
              <w:ind w:left="0" w:firstLine="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①气相色谱质谱联用仪；②离子色谱仪；③石墨炉原子吸收分光光度计；④原子荧光光度计；⑤电感耦合等离子体发射质谱仪；上述仪器设备，投标人每拥有一种设备得1分，最高得4分。</w:t>
            </w:r>
            <w:r>
              <w:rPr>
                <w:rFonts w:hint="eastAsia" w:ascii="宋体" w:hAnsi="宋体" w:eastAsia="宋体" w:cs="宋体"/>
                <w:sz w:val="24"/>
                <w:highlight w:val="none"/>
                <w:lang w:val="en-US" w:eastAsia="zh-CN"/>
              </w:rPr>
            </w:r>
            <w:r/>
          </w:p>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 xml:space="preserve">注：提供投标人本单位自行购买仪器设备的有效发票票据或合同，扫描件并加盖公章，否则不得分。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7"/>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8582"/>
        </w:trPr>
        <w:tc>
          <w:tcPr>
            <w:tcW w:w="835" w:type="dxa"/>
            <w:vAlign w:val="center"/>
            <w:textDirection w:val="lrTb"/>
            <w:noWrap w:val="false"/>
          </w:tcPr>
          <w:p>
            <w:pPr>
              <w:pStyle w:val="777"/>
              <w:jc w:val="center"/>
              <w:rPr>
                <w:rFonts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4</w:t>
            </w:r>
            <w:r>
              <w:rPr>
                <w:rFonts w:ascii="Times New Roman" w:hAnsi="Times New Roman" w:eastAsia="宋体" w:cs="Times New Roman"/>
                <w:sz w:val="24"/>
                <w:highlight w:val="none"/>
                <w:lang w:val="en-US" w:eastAsia="zh-CN"/>
              </w:rPr>
            </w:r>
            <w:r/>
          </w:p>
        </w:tc>
        <w:tc>
          <w:tcPr>
            <w:tcW w:w="1462" w:type="dxa"/>
            <w:vAlign w:val="center"/>
            <w:textDirection w:val="lrTb"/>
            <w:noWrap w:val="false"/>
          </w:tcPr>
          <w:p>
            <w:pPr>
              <w:pStyle w:val="1033"/>
              <w:numPr>
                <w:ilvl w:val="0"/>
                <w:numId w:val="0"/>
              </w:numPr>
              <w:ind w:left="0" w:firstLine="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技术人员持证数量</w:t>
            </w:r>
            <w:r>
              <w:rPr>
                <w:rFonts w:ascii="宋体" w:hAnsi="宋体" w:eastAsia="宋体" w:cs="宋体"/>
                <w:sz w:val="24"/>
                <w:highlight w:val="none"/>
                <w:lang w:val="en-US" w:eastAsia="zh-CN"/>
              </w:rPr>
            </w:r>
            <w:r/>
          </w:p>
        </w:tc>
        <w:tc>
          <w:tcPr>
            <w:tcW w:w="791" w:type="dxa"/>
            <w:vAlign w:val="center"/>
            <w:textDirection w:val="lrTb"/>
            <w:noWrap w:val="false"/>
          </w:tcPr>
          <w:p>
            <w:pPr>
              <w:pStyle w:val="1033"/>
              <w:numPr>
                <w:ilvl w:val="0"/>
                <w:numId w:val="0"/>
              </w:numPr>
              <w:ind w:left="0" w:firstLine="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1033"/>
              <w:numPr>
                <w:ilvl w:val="0"/>
                <w:numId w:val="0"/>
              </w:numPr>
              <w:ind w:left="0" w:firstLine="24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投标人的技术人员执有江苏省环境保护厅或住房和城乡建设厅组织的环境监测类上岗证或执有中国环境保护产业协会与中国环境监测总站组织的社会化环境检测机构从业人员基本实操技能培训合格证每有1人得1分，此项最高得5分；</w:t>
            </w:r>
            <w:r>
              <w:rPr>
                <w:rFonts w:hint="eastAsia" w:ascii="宋体" w:hAnsi="宋体" w:eastAsia="宋体" w:cs="宋体"/>
                <w:sz w:val="24"/>
                <w:highlight w:val="none"/>
                <w:lang w:val="en-US" w:eastAsia="zh-CN"/>
              </w:rPr>
            </w:r>
            <w:r/>
          </w:p>
          <w:p>
            <w:pPr>
              <w:pStyle w:val="1033"/>
              <w:numPr>
                <w:ilvl w:val="0"/>
                <w:numId w:val="0"/>
              </w:numPr>
              <w:ind w:left="0" w:firstLine="240"/>
              <w:jc w:val="lef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（2）投标人的技术人员执有环保类中级工程师证书达5人得3分，少于5人不得分，超过5人的，每多一个证书得1分，最高得5分；除此以外人员另有环保类高级工程师证书每有1人得1分，最高得2分；此项最高得7分。</w:t>
            </w:r>
            <w:r>
              <w:rPr>
                <w:rFonts w:ascii="宋体" w:hAnsi="宋体" w:eastAsia="宋体" w:cs="宋体"/>
                <w:sz w:val="24"/>
                <w:highlight w:val="none"/>
                <w:lang w:val="en-US" w:eastAsia="zh-CN"/>
              </w:rPr>
            </w:r>
            <w:r/>
          </w:p>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 xml:space="preserve">注：上述若同一人同时具有上岗证（或技能培训合格证）和职称证书的可重复得分，各类证书均为有效期内。</w:t>
            </w:r>
            <w:r>
              <w:rPr>
                <w:rFonts w:hint="eastAsia" w:ascii="宋体" w:hAnsi="宋体" w:eastAsia="宋体" w:cs="宋体"/>
                <w:b/>
                <w:bCs/>
                <w:sz w:val="24"/>
                <w:highlight w:val="none"/>
                <w:lang w:val="zh-CN" w:eastAsia="zh-CN"/>
              </w:rPr>
              <w:t xml:space="preserve">提供相关人员的证书</w:t>
            </w:r>
            <w:r>
              <w:rPr>
                <w:rFonts w:hint="eastAsia" w:ascii="宋体" w:hAnsi="宋体" w:eastAsia="宋体" w:cs="宋体"/>
                <w:b/>
                <w:bCs/>
                <w:sz w:val="24"/>
                <w:highlight w:val="none"/>
                <w:lang w:val="en-US" w:eastAsia="zh-CN"/>
              </w:rPr>
              <w:t xml:space="preserve">扫描</w:t>
            </w:r>
            <w:r>
              <w:rPr>
                <w:rFonts w:hint="eastAsia" w:ascii="宋体" w:hAnsi="宋体" w:eastAsia="宋体" w:cs="宋体"/>
                <w:b/>
                <w:bCs/>
                <w:sz w:val="24"/>
                <w:highlight w:val="none"/>
                <w:lang w:val="zh-CN" w:eastAsia="zh-CN"/>
              </w:rPr>
              <w:t xml:space="preserve">件及在本单位</w:t>
            </w:r>
            <w:r>
              <w:rPr>
                <w:rFonts w:hint="eastAsia" w:ascii="宋体" w:hAnsi="宋体" w:eastAsia="宋体" w:cs="宋体"/>
                <w:b/>
                <w:bCs/>
                <w:sz w:val="24"/>
                <w:highlight w:val="none"/>
                <w:lang w:val="en-US" w:eastAsia="zh-CN"/>
              </w:rPr>
              <w:t xml:space="preserve">为其在开标前三个月缴纳的社保记录并加盖公章，退休返聘人员须提供退休证及聘用合同扫描件并加盖公章，否则不得分。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7"/>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414"/>
        </w:trPr>
        <w:tc>
          <w:tcPr>
            <w:tcW w:w="835" w:type="dxa"/>
            <w:vAlign w:val="center"/>
            <w:textDirection w:val="lrTb"/>
            <w:noWrap w:val="false"/>
          </w:tcPr>
          <w:p>
            <w:pPr>
              <w:pStyle w:val="777"/>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w:t>
            </w:r>
            <w:r>
              <w:rPr>
                <w:rFonts w:ascii="宋体" w:hAnsi="宋体" w:eastAsia="宋体" w:cs="宋体"/>
                <w:sz w:val="24"/>
                <w:szCs w:val="24"/>
                <w:highlight w:val="none"/>
                <w:lang w:val="en-US" w:eastAsia="zh-CN" w:bidi="ar-SA"/>
              </w:rPr>
            </w:r>
            <w:r/>
          </w:p>
        </w:tc>
        <w:tc>
          <w:tcPr>
            <w:tcW w:w="1462" w:type="dxa"/>
            <w:vAlign w:val="center"/>
            <w:textDirection w:val="lrTb"/>
            <w:noWrap w:val="false"/>
          </w:tcPr>
          <w:p>
            <w:pPr>
              <w:pStyle w:val="1033"/>
              <w:numPr>
                <w:ilvl w:val="0"/>
                <w:numId w:val="0"/>
              </w:numPr>
              <w:ind w:left="0" w:firstLine="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企业业绩</w:t>
            </w:r>
            <w:r>
              <w:rPr>
                <w:rFonts w:ascii="宋体" w:hAnsi="宋体" w:eastAsia="宋体" w:cs="宋体"/>
                <w:sz w:val="24"/>
                <w:highlight w:val="none"/>
                <w:lang w:val="en-US" w:eastAsia="zh-CN"/>
              </w:rPr>
            </w:r>
            <w:r/>
          </w:p>
        </w:tc>
        <w:tc>
          <w:tcPr>
            <w:tcW w:w="791" w:type="dxa"/>
            <w:vAlign w:val="center"/>
            <w:textDirection w:val="lrTb"/>
            <w:noWrap w:val="false"/>
          </w:tcPr>
          <w:p>
            <w:pPr>
              <w:pStyle w:val="1033"/>
              <w:numPr>
                <w:ilvl w:val="0"/>
                <w:numId w:val="0"/>
              </w:numPr>
              <w:ind w:left="0" w:firstLine="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806"/>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供应商自202</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年</w:t>
            </w:r>
            <w:r>
              <w:rPr>
                <w:rFonts w:hint="eastAsia" w:ascii="宋体" w:hAnsi="宋体" w:cs="宋体"/>
                <w:sz w:val="24"/>
                <w:szCs w:val="24"/>
                <w:highlight w:val="none"/>
                <w:lang w:val="en-US" w:eastAsia="zh-CN" w:bidi="ar-SA"/>
              </w:rPr>
              <w:t xml:space="preserve">1月1日</w:t>
            </w:r>
            <w:r>
              <w:rPr>
                <w:rFonts w:hint="eastAsia" w:ascii="宋体" w:hAnsi="宋体" w:eastAsia="宋体" w:cs="宋体"/>
                <w:sz w:val="24"/>
                <w:szCs w:val="24"/>
                <w:highlight w:val="none"/>
                <w:lang w:val="en-US" w:eastAsia="zh-CN" w:bidi="ar-SA"/>
              </w:rPr>
              <w:t xml:space="preserve">以来（时间以合同</w:t>
            </w:r>
            <w:r>
              <w:rPr>
                <w:rFonts w:hint="eastAsia" w:ascii="宋体" w:hAnsi="宋体" w:cs="宋体"/>
                <w:sz w:val="24"/>
                <w:szCs w:val="24"/>
                <w:highlight w:val="none"/>
                <w:lang w:val="en-US" w:eastAsia="zh-CN" w:bidi="ar-SA"/>
              </w:rPr>
              <w:t xml:space="preserve">签订</w:t>
            </w:r>
            <w:r>
              <w:rPr>
                <w:rFonts w:hint="eastAsia" w:ascii="宋体" w:hAnsi="宋体" w:eastAsia="宋体" w:cs="宋体"/>
                <w:sz w:val="24"/>
                <w:szCs w:val="24"/>
                <w:highlight w:val="none"/>
                <w:lang w:val="en-US" w:eastAsia="zh-CN" w:bidi="ar-SA"/>
              </w:rPr>
              <w:t xml:space="preserve">时间为准）承接与政府机关签订类似项目业绩</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，有1个得</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分，最高得</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eastAsia="宋体" w:cs="宋体"/>
                <w:sz w:val="24"/>
                <w:szCs w:val="24"/>
                <w:highlight w:val="none"/>
                <w:lang w:val="en-US" w:eastAsia="zh-CN" w:bidi="ar-SA"/>
              </w:rPr>
            </w:r>
            <w:r/>
          </w:p>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b/>
                <w:bCs/>
                <w:sz w:val="24"/>
                <w:szCs w:val="24"/>
                <w:highlight w:val="none"/>
                <w:lang w:val="en-US" w:eastAsia="zh-CN" w:bidi="ar-SA"/>
              </w:rPr>
              <w:t xml:space="preserve">注：提供项目合同</w:t>
            </w:r>
            <w:r>
              <w:rPr>
                <w:rFonts w:hint="eastAsia" w:ascii="宋体" w:hAnsi="宋体" w:cs="宋体"/>
                <w:b/>
                <w:bCs/>
                <w:sz w:val="24"/>
                <w:szCs w:val="24"/>
                <w:highlight w:val="none"/>
                <w:lang w:val="en-US" w:eastAsia="zh-CN" w:bidi="ar-SA"/>
              </w:rPr>
              <w:t xml:space="preserve">扫描</w:t>
            </w:r>
            <w:r>
              <w:rPr>
                <w:rFonts w:hint="eastAsia" w:ascii="宋体" w:hAnsi="宋体" w:eastAsia="宋体" w:cs="宋体"/>
                <w:b/>
                <w:bCs/>
                <w:sz w:val="24"/>
                <w:szCs w:val="24"/>
                <w:highlight w:val="none"/>
                <w:lang w:val="en-US" w:eastAsia="zh-CN" w:bidi="ar-SA"/>
              </w:rPr>
              <w:t xml:space="preserve">件（以合同签订时间为准），加盖响应单位公章，不提供不得分。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7"/>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516"/>
        </w:trPr>
        <w:tc>
          <w:tcPr>
            <w:tcW w:w="835" w:type="dxa"/>
            <w:vAlign w:val="center"/>
            <w:textDirection w:val="lrTb"/>
            <w:noWrap w:val="false"/>
          </w:tcPr>
          <w:p>
            <w:pPr>
              <w:pStyle w:val="777"/>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r>
            <w:r/>
          </w:p>
        </w:tc>
        <w:tc>
          <w:tcPr>
            <w:tcW w:w="1462" w:type="dxa"/>
            <w:vAlign w:val="center"/>
            <w:textDirection w:val="lrTb"/>
            <w:noWrap w:val="false"/>
          </w:tcPr>
          <w:p>
            <w:pPr>
              <w:pStyle w:val="777"/>
              <w:jc w:val="center"/>
              <w:rPr>
                <w:rFonts w:ascii="Times New Roman" w:hAnsi="Times New Roman" w:eastAsia="宋体" w:cs="Times New Roman"/>
                <w:b w:val="0"/>
                <w:bCs w:val="0"/>
                <w:sz w:val="24"/>
                <w:highlight w:val="none"/>
              </w:rPr>
            </w:pPr>
            <w:r>
              <w:rPr>
                <w:rFonts w:hint="eastAsia" w:ascii="Times New Roman" w:hAnsi="Times New Roman" w:eastAsia="宋体" w:cs="Times New Roman"/>
                <w:b w:val="0"/>
                <w:bCs w:val="0"/>
                <w:sz w:val="24"/>
                <w:highlight w:val="none"/>
                <w:lang w:val="en-US" w:eastAsia="zh-CN"/>
              </w:rPr>
              <w:t xml:space="preserve">主</w:t>
            </w:r>
            <w:r>
              <w:rPr>
                <w:rFonts w:hint="eastAsia" w:ascii="Times New Roman" w:hAnsi="Times New Roman" w:eastAsia="宋体" w:cs="Times New Roman"/>
                <w:b w:val="0"/>
                <w:bCs w:val="0"/>
                <w:sz w:val="24"/>
                <w:highlight w:val="none"/>
              </w:rPr>
              <w:t xml:space="preserve">观分</w:t>
            </w:r>
            <w:r>
              <w:rPr>
                <w:rFonts w:ascii="Times New Roman" w:hAnsi="Times New Roman" w:eastAsia="宋体" w:cs="Times New Roman"/>
                <w:b w:val="0"/>
                <w:bCs w:val="0"/>
                <w:sz w:val="24"/>
                <w:highlight w:val="none"/>
              </w:rPr>
            </w:r>
            <w:r/>
          </w:p>
        </w:tc>
        <w:tc>
          <w:tcPr>
            <w:tcW w:w="791" w:type="dxa"/>
            <w:vAlign w:val="center"/>
            <w:textDirection w:val="lrTb"/>
            <w:noWrap w:val="false"/>
          </w:tcPr>
          <w:p>
            <w:pPr>
              <w:pStyle w:val="777"/>
              <w:jc w:val="center"/>
              <w:rPr>
                <w:rFonts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40</w:t>
            </w:r>
            <w:r>
              <w:rPr>
                <w:rFonts w:ascii="宋体" w:hAnsi="宋体" w:eastAsia="宋体" w:cs="宋体"/>
                <w:b w:val="0"/>
                <w:bCs w:val="0"/>
                <w:sz w:val="24"/>
                <w:highlight w:val="none"/>
                <w:lang w:val="en-US" w:eastAsia="zh-CN"/>
              </w:rPr>
            </w:r>
            <w:r/>
          </w:p>
        </w:tc>
        <w:tc>
          <w:tcPr>
            <w:tcW w:w="4305" w:type="dxa"/>
            <w:vAlign w:val="center"/>
            <w:textDirection w:val="lrTb"/>
            <w:noWrap w:val="false"/>
          </w:tcPr>
          <w:p>
            <w:pPr>
              <w:pStyle w:val="777"/>
              <w:rPr>
                <w:rFonts w:ascii="Times New Roman" w:hAnsi="Times New Roman" w:eastAsia="宋体" w:cs="Times New Roman"/>
                <w:b w:val="0"/>
                <w:bCs w:val="0"/>
                <w:sz w:val="24"/>
                <w:highlight w:val="none"/>
                <w:lang w:val="en-US" w:eastAsia="zh-CN"/>
              </w:rPr>
            </w:pPr>
            <w:r>
              <w:rPr>
                <w:rFonts w:ascii="Times New Roman" w:hAnsi="Times New Roman" w:eastAsia="宋体" w:cs="Times New Roman"/>
                <w:b w:val="0"/>
                <w:bCs w:val="0"/>
                <w:sz w:val="24"/>
                <w:highlight w:val="none"/>
                <w:lang w:val="en-US" w:eastAsia="zh-CN"/>
              </w:rPr>
            </w:r>
            <w:r/>
          </w:p>
        </w:tc>
        <w:tc>
          <w:tcPr>
            <w:tcW w:w="2235" w:type="dxa"/>
            <w:vAlign w:val="center"/>
            <w:textDirection w:val="lrTb"/>
            <w:noWrap w:val="false"/>
          </w:tcPr>
          <w:p>
            <w:pPr>
              <w:pStyle w:val="777"/>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1898"/>
        </w:trPr>
        <w:tc>
          <w:tcPr>
            <w:tcW w:w="835" w:type="dxa"/>
            <w:vAlign w:val="center"/>
            <w:textDirection w:val="lrTb"/>
            <w:noWrap w:val="false"/>
          </w:tcPr>
          <w:p>
            <w:pPr>
              <w:pStyle w:val="1033"/>
              <w:numPr>
                <w:ilvl w:val="0"/>
                <w:numId w:val="0"/>
              </w:numPr>
              <w:ind w:left="0" w:firstLine="0"/>
              <w:jc w:val="center"/>
              <w:rPr>
                <w:rFonts w:ascii="Times New Roman" w:hAnsi="Times New Roman" w:eastAsia="宋体" w:cs="Times New Roman"/>
                <w:sz w:val="24"/>
                <w:highlight w:val="none"/>
              </w:rPr>
            </w:pPr>
            <w:r>
              <w:rPr>
                <w:rFonts w:hint="eastAsia" w:ascii="宋体" w:hAnsi="宋体" w:eastAsia="宋体" w:cs="宋体"/>
                <w:sz w:val="24"/>
                <w:szCs w:val="24"/>
                <w:highlight w:val="none"/>
                <w:lang w:val="en-US" w:eastAsia="zh-CN" w:bidi="ar-SA"/>
              </w:rPr>
              <w:t xml:space="preserve">3.1</w:t>
            </w:r>
            <w:r>
              <w:rPr>
                <w:rFonts w:ascii="Times New Roman" w:hAnsi="Times New Roman" w:eastAsia="宋体" w:cs="Times New Roman"/>
                <w:sz w:val="24"/>
                <w:highlight w:val="none"/>
              </w:rPr>
            </w:r>
            <w:r/>
          </w:p>
        </w:tc>
        <w:tc>
          <w:tcPr>
            <w:tcW w:w="1462" w:type="dxa"/>
            <w:vAlign w:val="center"/>
            <w:textDirection w:val="lrTb"/>
            <w:noWrap w:val="false"/>
          </w:tcPr>
          <w:p>
            <w:pPr>
              <w:pStyle w:val="1033"/>
              <w:numPr>
                <w:ilvl w:val="0"/>
                <w:numId w:val="0"/>
              </w:numPr>
              <w:ind w:left="0" w:firstLine="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响应方案</w:t>
            </w:r>
            <w:r>
              <w:rPr>
                <w:rFonts w:ascii="宋体" w:hAnsi="宋体" w:eastAsia="宋体" w:cs="宋体"/>
                <w:sz w:val="24"/>
                <w:highlight w:val="none"/>
                <w:lang w:val="en-US" w:eastAsia="zh-CN"/>
              </w:rPr>
            </w:r>
            <w:r/>
          </w:p>
        </w:tc>
        <w:tc>
          <w:tcPr>
            <w:tcW w:w="791" w:type="dxa"/>
            <w:vAlign w:val="center"/>
            <w:textDirection w:val="lrTb"/>
            <w:noWrap w:val="false"/>
          </w:tcPr>
          <w:p>
            <w:pPr>
              <w:pStyle w:val="1033"/>
              <w:numPr>
                <w:ilvl w:val="0"/>
                <w:numId w:val="0"/>
              </w:numPr>
              <w:ind w:left="0" w:firstLine="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1033"/>
              <w:numPr>
                <w:ilvl w:val="0"/>
                <w:numId w:val="0"/>
              </w:numPr>
              <w:ind w:left="0" w:firstLine="0"/>
              <w:jc w:val="lef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根据供应商拟制的响应方案进行综合评审，方案完整且具体可行的得 8分；方案基本满足要求，可操作性一般的得6分；方案不能满足采购人要求，且没有具体可操作性的得4分。未提供本项不得分。</w:t>
            </w:r>
            <w:r>
              <w:rPr>
                <w:rFonts w:ascii="宋体" w:hAnsi="宋体" w:eastAsia="宋体" w:cs="宋体"/>
                <w:sz w:val="24"/>
                <w:highlight w:val="none"/>
                <w:lang w:val="en-US" w:eastAsia="zh-CN"/>
              </w:rPr>
            </w:r>
            <w:r/>
          </w:p>
        </w:tc>
        <w:tc>
          <w:tcPr>
            <w:tcW w:w="2235" w:type="dxa"/>
            <w:vAlign w:val="center"/>
            <w:textDirection w:val="lrTb"/>
            <w:noWrap w:val="false"/>
          </w:tcPr>
          <w:p>
            <w:pPr>
              <w:pStyle w:val="777"/>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c>
          <w:tcPr>
            <w:tcW w:w="835" w:type="dxa"/>
            <w:vAlign w:val="center"/>
            <w:textDirection w:val="lrTb"/>
            <w:noWrap w:val="false"/>
          </w:tcPr>
          <w:p>
            <w:pPr>
              <w:pStyle w:val="1033"/>
              <w:numPr>
                <w:ilvl w:val="0"/>
                <w:numId w:val="0"/>
              </w:numPr>
              <w:ind w:left="0" w:firstLine="0"/>
              <w:jc w:val="center"/>
              <w:rPr>
                <w:rFonts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3.2</w:t>
            </w:r>
            <w:r>
              <w:rPr>
                <w:rFonts w:ascii="Times New Roman" w:hAnsi="Times New Roman" w:eastAsia="宋体" w:cs="Times New Roman"/>
                <w:sz w:val="24"/>
                <w:highlight w:val="none"/>
                <w:lang w:val="en-US" w:eastAsia="zh-CN"/>
              </w:rPr>
            </w:r>
            <w:r/>
          </w:p>
        </w:tc>
        <w:tc>
          <w:tcPr>
            <w:tcW w:w="1462" w:type="dxa"/>
            <w:vAlign w:val="center"/>
            <w:textDirection w:val="lrTb"/>
            <w:noWrap w:val="false"/>
          </w:tcPr>
          <w:p>
            <w:pPr>
              <w:pStyle w:val="1033"/>
              <w:numPr>
                <w:ilvl w:val="0"/>
                <w:numId w:val="0"/>
              </w:numPr>
              <w:ind w:left="0" w:firstLine="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质量进度方案</w:t>
            </w:r>
            <w:r>
              <w:rPr>
                <w:rFonts w:ascii="宋体" w:hAnsi="宋体" w:eastAsia="宋体" w:cs="宋体"/>
                <w:sz w:val="24"/>
                <w:highlight w:val="none"/>
                <w:lang w:val="en-US" w:eastAsia="zh-CN"/>
              </w:rPr>
            </w:r>
            <w:r/>
          </w:p>
        </w:tc>
        <w:tc>
          <w:tcPr>
            <w:tcW w:w="791" w:type="dxa"/>
            <w:vAlign w:val="center"/>
            <w:textDirection w:val="lrTb"/>
            <w:noWrap w:val="false"/>
          </w:tcPr>
          <w:p>
            <w:pPr>
              <w:pStyle w:val="1033"/>
              <w:numPr>
                <w:ilvl w:val="0"/>
                <w:numId w:val="0"/>
              </w:numPr>
              <w:ind w:left="0" w:firstLine="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根据供应商拟制的质量进度方案进行综合评审，方案完整且具体可行的得7分；方案基本满足要求，可操作性一般的得5分；方案不能满足采购人要求，且没有具体可操作性的得3分。未提供本项不得分。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7"/>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rHeight w:val="2272"/>
        </w:trPr>
        <w:tc>
          <w:tcPr>
            <w:tcW w:w="835" w:type="dxa"/>
            <w:vAlign w:val="center"/>
            <w:textDirection w:val="lrTb"/>
            <w:noWrap w:val="false"/>
          </w:tcPr>
          <w:p>
            <w:pPr>
              <w:pStyle w:val="1033"/>
              <w:numPr>
                <w:ilvl w:val="0"/>
                <w:numId w:val="0"/>
              </w:numPr>
              <w:ind w:left="0" w:firstLine="0"/>
              <w:jc w:val="center"/>
              <w:rPr>
                <w:rFonts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3.3</w:t>
            </w:r>
            <w:r>
              <w:rPr>
                <w:rFonts w:ascii="Times New Roman" w:hAnsi="Times New Roman" w:eastAsia="宋体" w:cs="Times New Roman"/>
                <w:sz w:val="24"/>
                <w:highlight w:val="none"/>
                <w:lang w:val="en-US" w:eastAsia="zh-CN"/>
              </w:rPr>
            </w:r>
            <w:r/>
          </w:p>
        </w:tc>
        <w:tc>
          <w:tcPr>
            <w:tcW w:w="1462" w:type="dxa"/>
            <w:vAlign w:val="center"/>
            <w:textDirection w:val="lrTb"/>
            <w:noWrap w:val="false"/>
          </w:tcPr>
          <w:p>
            <w:pPr>
              <w:pStyle w:val="1033"/>
              <w:numPr>
                <w:ilvl w:val="0"/>
                <w:numId w:val="0"/>
              </w:numPr>
              <w:ind w:left="0" w:firstLine="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项目重点、难点分析</w:t>
            </w:r>
            <w:r>
              <w:rPr>
                <w:rFonts w:ascii="宋体" w:hAnsi="宋体" w:eastAsia="宋体" w:cs="宋体"/>
                <w:sz w:val="24"/>
                <w:highlight w:val="none"/>
                <w:lang w:val="en-US" w:eastAsia="zh-CN"/>
              </w:rPr>
            </w:r>
            <w:r/>
          </w:p>
        </w:tc>
        <w:tc>
          <w:tcPr>
            <w:tcW w:w="791" w:type="dxa"/>
            <w:vAlign w:val="center"/>
            <w:textDirection w:val="lrTb"/>
            <w:noWrap w:val="false"/>
          </w:tcPr>
          <w:p>
            <w:pPr>
              <w:pStyle w:val="1033"/>
              <w:numPr>
                <w:ilvl w:val="0"/>
                <w:numId w:val="0"/>
              </w:numPr>
              <w:ind w:left="0" w:firstLine="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ascii="宋体" w:hAnsi="宋体" w:eastAsia="宋体" w:cs="宋体"/>
                <w:sz w:val="24"/>
                <w:highlight w:val="none"/>
                <w:lang w:val="en-US" w:eastAsia="zh-CN"/>
              </w:rPr>
            </w:r>
            <w:r/>
          </w:p>
        </w:tc>
        <w:tc>
          <w:tcPr>
            <w:tcW w:w="4305" w:type="dxa"/>
            <w:vAlign w:val="center"/>
            <w:textDirection w:val="lrTb"/>
            <w:noWrap w:val="false"/>
          </w:tcPr>
          <w:p>
            <w:pPr>
              <w:pStyle w:val="1033"/>
              <w:numPr>
                <w:ilvl w:val="0"/>
                <w:numId w:val="0"/>
              </w:numPr>
              <w:ind w:left="0" w:firstLine="0"/>
              <w:jc w:val="lef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根据供应商拟制的项目重点、难点分析进行综合评审，方案完整且具体可行的得6分；方案基本满足要求，可操作性一般的得4分；方案不能满足采购人要求，且没有具体可操作性的得2分。未提供本项不得分。</w:t>
            </w:r>
            <w:r>
              <w:rPr>
                <w:rFonts w:ascii="宋体" w:hAnsi="宋体" w:eastAsia="宋体" w:cs="宋体"/>
                <w:sz w:val="24"/>
                <w:highlight w:val="none"/>
                <w:lang w:val="en-US" w:eastAsia="zh-CN"/>
              </w:rPr>
            </w:r>
            <w:r/>
          </w:p>
        </w:tc>
        <w:tc>
          <w:tcPr>
            <w:tcW w:w="2235" w:type="dxa"/>
            <w:vAlign w:val="center"/>
            <w:textDirection w:val="lrTb"/>
            <w:noWrap w:val="false"/>
          </w:tcPr>
          <w:p>
            <w:pPr>
              <w:pStyle w:val="777"/>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rHeight w:val="90"/>
        </w:trPr>
        <w:tc>
          <w:tcPr>
            <w:tcW w:w="835" w:type="dxa"/>
            <w:vAlign w:val="center"/>
            <w:textDirection w:val="lrTb"/>
            <w:noWrap w:val="false"/>
          </w:tcPr>
          <w:p>
            <w:pPr>
              <w:pStyle w:val="1033"/>
              <w:numPr>
                <w:ilvl w:val="0"/>
                <w:numId w:val="0"/>
              </w:numPr>
              <w:ind w:left="0" w:firstLine="0"/>
              <w:jc w:val="center"/>
              <w:rPr>
                <w:rFonts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3.4</w:t>
            </w:r>
            <w:r>
              <w:rPr>
                <w:rFonts w:ascii="Times New Roman" w:hAnsi="Times New Roman" w:eastAsia="宋体" w:cs="Times New Roman"/>
                <w:sz w:val="24"/>
                <w:highlight w:val="none"/>
                <w:lang w:val="en-US" w:eastAsia="zh-CN"/>
              </w:rPr>
            </w:r>
            <w:r/>
          </w:p>
        </w:tc>
        <w:tc>
          <w:tcPr>
            <w:tcW w:w="1462" w:type="dxa"/>
            <w:vAlign w:val="center"/>
            <w:textDirection w:val="lrTb"/>
            <w:noWrap w:val="false"/>
          </w:tcPr>
          <w:p>
            <w:pPr>
              <w:pStyle w:val="1033"/>
              <w:numPr>
                <w:ilvl w:val="0"/>
                <w:numId w:val="0"/>
              </w:numPr>
              <w:ind w:left="0" w:firstLine="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人员配备方案</w:t>
            </w:r>
            <w:r>
              <w:rPr>
                <w:rFonts w:ascii="宋体" w:hAnsi="宋体" w:eastAsia="宋体" w:cs="宋体"/>
                <w:sz w:val="24"/>
                <w:highlight w:val="none"/>
                <w:lang w:val="en-US" w:eastAsia="zh-CN"/>
              </w:rPr>
            </w:r>
            <w:r/>
          </w:p>
        </w:tc>
        <w:tc>
          <w:tcPr>
            <w:tcW w:w="791" w:type="dxa"/>
            <w:vAlign w:val="center"/>
            <w:textDirection w:val="lrTb"/>
            <w:noWrap w:val="false"/>
          </w:tcPr>
          <w:p>
            <w:pPr>
              <w:pStyle w:val="1033"/>
              <w:numPr>
                <w:ilvl w:val="0"/>
                <w:numId w:val="0"/>
              </w:numPr>
              <w:ind w:left="0" w:firstLine="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1033"/>
              <w:numPr>
                <w:ilvl w:val="0"/>
                <w:numId w:val="0"/>
              </w:numPr>
              <w:ind w:left="0" w:firstLine="0"/>
              <w:jc w:val="lef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根据供应商针对本项目拟定的人员配备方案进行综合评审，方案完整且具体可行的得4分；方案基本满足要求，可操作性一般的得3分；方案不能满足采购人要求，且没有具体可操作性的得2分。未提供本项不得分。</w:t>
            </w:r>
            <w:r>
              <w:rPr>
                <w:rFonts w:ascii="宋体" w:hAnsi="宋体" w:eastAsia="宋体" w:cs="宋体"/>
                <w:sz w:val="24"/>
                <w:highlight w:val="none"/>
                <w:lang w:val="en-US" w:eastAsia="zh-CN"/>
              </w:rPr>
            </w:r>
            <w:r/>
          </w:p>
        </w:tc>
        <w:tc>
          <w:tcPr>
            <w:tcW w:w="2235" w:type="dxa"/>
            <w:vAlign w:val="center"/>
            <w:textDirection w:val="lrTb"/>
            <w:noWrap w:val="false"/>
          </w:tcPr>
          <w:p>
            <w:pPr>
              <w:pStyle w:val="777"/>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rHeight w:val="2415"/>
        </w:trPr>
        <w:tc>
          <w:tcPr>
            <w:tcW w:w="835" w:type="dxa"/>
            <w:vAlign w:val="center"/>
            <w:textDirection w:val="lrTb"/>
            <w:noWrap w:val="false"/>
          </w:tcPr>
          <w:p>
            <w:pPr>
              <w:pStyle w:val="1033"/>
              <w:numPr>
                <w:ilvl w:val="0"/>
                <w:numId w:val="0"/>
              </w:numPr>
              <w:ind w:left="0" w:firstLine="0"/>
              <w:jc w:val="center"/>
              <w:rPr>
                <w:rFonts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3.5</w:t>
            </w:r>
            <w:r>
              <w:rPr>
                <w:rFonts w:ascii="Times New Roman" w:hAnsi="Times New Roman" w:eastAsia="宋体" w:cs="Times New Roman"/>
                <w:sz w:val="24"/>
                <w:highlight w:val="none"/>
                <w:lang w:val="en-US" w:eastAsia="zh-CN"/>
              </w:rPr>
            </w:r>
            <w:r/>
          </w:p>
        </w:tc>
        <w:tc>
          <w:tcPr>
            <w:tcW w:w="1462" w:type="dxa"/>
            <w:vAlign w:val="center"/>
            <w:textDirection w:val="lrTb"/>
            <w:noWrap w:val="false"/>
          </w:tcPr>
          <w:p>
            <w:pPr>
              <w:pStyle w:val="1033"/>
              <w:numPr>
                <w:ilvl w:val="0"/>
                <w:numId w:val="0"/>
              </w:numPr>
              <w:ind w:left="0" w:firstLine="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合理化建议</w:t>
            </w:r>
            <w:r>
              <w:rPr>
                <w:rFonts w:ascii="宋体" w:hAnsi="宋体" w:eastAsia="宋体" w:cs="宋体"/>
                <w:sz w:val="24"/>
                <w:highlight w:val="none"/>
                <w:lang w:val="en-US" w:eastAsia="zh-CN"/>
              </w:rPr>
            </w:r>
            <w:r/>
          </w:p>
        </w:tc>
        <w:tc>
          <w:tcPr>
            <w:tcW w:w="791" w:type="dxa"/>
            <w:vAlign w:val="center"/>
            <w:textDirection w:val="lrTb"/>
            <w:noWrap w:val="false"/>
          </w:tcPr>
          <w:p>
            <w:pPr>
              <w:pStyle w:val="1033"/>
              <w:numPr>
                <w:ilvl w:val="0"/>
                <w:numId w:val="0"/>
              </w:numPr>
              <w:ind w:left="0" w:firstLine="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根据本项目制定的合理化建议进行综合评审，建议完整且具体可行的得 6 分；建议基本满足要求，可操作性一般的得4分；建议不能满足采购人要求，且没有具体可操作性的得 2分。未提供本项不得分。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7"/>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c>
          <w:tcPr>
            <w:tcW w:w="835" w:type="dxa"/>
            <w:vAlign w:val="center"/>
            <w:textDirection w:val="lrTb"/>
            <w:noWrap w:val="false"/>
          </w:tcPr>
          <w:p>
            <w:pPr>
              <w:pStyle w:val="1033"/>
              <w:numPr>
                <w:ilvl w:val="0"/>
                <w:numId w:val="0"/>
              </w:numPr>
              <w:ind w:left="0" w:firstLine="0"/>
              <w:jc w:val="center"/>
              <w:rPr>
                <w:rFonts w:hint="eastAsia"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3.6</w:t>
            </w:r>
            <w:r>
              <w:rPr>
                <w:rFonts w:hint="eastAsia" w:ascii="Times New Roman" w:hAnsi="Times New Roman" w:eastAsia="宋体" w:cs="Times New Roman"/>
                <w:sz w:val="24"/>
                <w:highlight w:val="none"/>
                <w:lang w:val="en-US" w:eastAsia="zh-CN"/>
              </w:rPr>
            </w:r>
            <w:r/>
          </w:p>
        </w:tc>
        <w:tc>
          <w:tcPr>
            <w:tcW w:w="1462" w:type="dxa"/>
            <w:vAlign w:val="center"/>
            <w:textDirection w:val="lrTb"/>
            <w:noWrap w:val="false"/>
          </w:tcPr>
          <w:p>
            <w:pPr>
              <w:pStyle w:val="1033"/>
              <w:numPr>
                <w:ilvl w:val="0"/>
                <w:numId w:val="0"/>
              </w:numPr>
              <w:ind w:left="0" w:firstLine="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后续服务</w:t>
            </w:r>
            <w:r>
              <w:rPr>
                <w:rFonts w:hint="eastAsia" w:ascii="宋体" w:hAnsi="宋体" w:eastAsia="宋体" w:cs="宋体"/>
                <w:sz w:val="24"/>
                <w:highlight w:val="none"/>
                <w:lang w:val="en-US" w:eastAsia="zh-CN"/>
              </w:rPr>
            </w:r>
            <w:r/>
          </w:p>
        </w:tc>
        <w:tc>
          <w:tcPr>
            <w:tcW w:w="791" w:type="dxa"/>
            <w:vAlign w:val="center"/>
            <w:textDirection w:val="lrTb"/>
            <w:noWrap w:val="false"/>
          </w:tcPr>
          <w:p>
            <w:pPr>
              <w:pStyle w:val="1033"/>
              <w:numPr>
                <w:ilvl w:val="0"/>
                <w:numId w:val="0"/>
              </w:numPr>
              <w:ind w:left="0" w:firstLine="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根据供应商拟制的后续服务内容进行综合评审，内容完整且具体可行的得4分；内容基本满足要求，可操作性一般的得3分；内容不能满足采购人要求，且没有具体可操作性的得2分。未提供本项不得分。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7"/>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c>
          <w:tcPr>
            <w:tcW w:w="835" w:type="dxa"/>
            <w:vAlign w:val="center"/>
            <w:textDirection w:val="lrTb"/>
            <w:noWrap w:val="false"/>
          </w:tcPr>
          <w:p>
            <w:pPr>
              <w:pStyle w:val="1033"/>
              <w:numPr>
                <w:ilvl w:val="0"/>
                <w:numId w:val="0"/>
              </w:numPr>
              <w:ind w:left="0" w:firstLine="0"/>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3.7</w:t>
            </w:r>
            <w:r>
              <w:rPr>
                <w:rFonts w:ascii="宋体" w:hAnsi="宋体" w:eastAsia="宋体" w:cs="宋体"/>
                <w:sz w:val="24"/>
                <w:szCs w:val="24"/>
                <w:highlight w:val="none"/>
                <w:lang w:val="en-US" w:eastAsia="zh-CN" w:bidi="ar-SA"/>
              </w:rPr>
            </w:r>
            <w:r/>
          </w:p>
        </w:tc>
        <w:tc>
          <w:tcPr>
            <w:tcW w:w="1462" w:type="dxa"/>
            <w:vAlign w:val="center"/>
            <w:textDirection w:val="lrTb"/>
            <w:noWrap w:val="false"/>
          </w:tcPr>
          <w:p>
            <w:pPr>
              <w:pStyle w:val="777"/>
              <w:ind w:left="0" w:firstLine="0"/>
              <w:jc w:val="center"/>
              <w:keepLines w:val="0"/>
              <w:keepNext w:val="0"/>
              <w:pageBreakBefore w:val="0"/>
              <w:spacing w:line="240" w:lineRule="auto"/>
              <w:rPr>
                <w:rFonts w:ascii="宋体" w:hAnsi="宋体" w:eastAsia="宋体" w:cs="宋体"/>
                <w:sz w:val="24"/>
                <w:szCs w:val="20"/>
                <w:highlight w:val="none"/>
                <w:lang w:val="en-US" w:eastAsia="zh-CN" w:bidi="ar-SA"/>
              </w:rPr>
            </w:pPr>
            <w:r>
              <w:rPr>
                <w:rFonts w:hint="eastAsia" w:ascii="宋体" w:hAnsi="宋体" w:eastAsia="宋体" w:cs="宋体"/>
                <w:sz w:val="24"/>
                <w:highlight w:val="none"/>
                <w:lang w:val="en-US" w:eastAsia="zh-CN"/>
              </w:rPr>
              <w:t xml:space="preserve">监测响应承诺书</w:t>
            </w:r>
            <w:r>
              <w:rPr>
                <w:rFonts w:ascii="宋体" w:hAnsi="宋体" w:eastAsia="宋体" w:cs="宋体"/>
                <w:sz w:val="24"/>
                <w:szCs w:val="20"/>
                <w:highlight w:val="none"/>
                <w:lang w:val="en-US" w:eastAsia="zh-CN" w:bidi="ar-SA"/>
              </w:rPr>
            </w:r>
            <w:r/>
          </w:p>
        </w:tc>
        <w:tc>
          <w:tcPr>
            <w:tcW w:w="791" w:type="dxa"/>
            <w:vAlign w:val="center"/>
            <w:textDirection w:val="lrTb"/>
            <w:noWrap w:val="false"/>
          </w:tcPr>
          <w:p>
            <w:pPr>
              <w:pStyle w:val="777"/>
              <w:ind w:left="0" w:firstLine="0"/>
              <w:jc w:val="center"/>
              <w:keepLines w:val="0"/>
              <w:keepNext w:val="0"/>
              <w:pageBreakBefore w:val="0"/>
              <w:spacing w:line="240" w:lineRule="auto"/>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3</w:t>
            </w:r>
            <w:r>
              <w:rPr>
                <w:rFonts w:hint="eastAsia" w:ascii="宋体" w:hAnsi="宋体" w:eastAsia="宋体" w:cs="宋体"/>
                <w:sz w:val="24"/>
                <w:szCs w:val="20"/>
                <w:highlight w:val="none"/>
                <w:lang w:val="en-US" w:eastAsia="zh-CN" w:bidi="ar-SA"/>
              </w:rPr>
            </w:r>
            <w:r/>
          </w:p>
        </w:tc>
        <w:tc>
          <w:tcPr>
            <w:tcW w:w="4305" w:type="dxa"/>
            <w:vAlign w:val="center"/>
            <w:textDirection w:val="lrTb"/>
            <w:noWrap w:val="false"/>
          </w:tcPr>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投标文件中承诺监测响应时间少于1小时（含）的得3分，1小时（不含）-2（含）小时的得2分，其他得1分，未响应的不得分。</w:t>
            </w:r>
            <w:r>
              <w:rPr>
                <w:rFonts w:hint="eastAsia" w:ascii="宋体" w:hAnsi="宋体" w:eastAsia="宋体" w:cs="宋体"/>
                <w:sz w:val="24"/>
                <w:highlight w:val="none"/>
                <w:lang w:val="en-US" w:eastAsia="zh-CN"/>
              </w:rPr>
            </w:r>
            <w:r/>
          </w:p>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注：提供加盖公章的有效承诺书（格式自定），未在承诺时间内监测响应，招标人有权取消其资格。</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7"/>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c>
          <w:tcPr>
            <w:tcW w:w="835" w:type="dxa"/>
            <w:vAlign w:val="center"/>
            <w:textDirection w:val="lrTb"/>
            <w:noWrap w:val="false"/>
          </w:tcPr>
          <w:p>
            <w:pPr>
              <w:pStyle w:val="1033"/>
              <w:numPr>
                <w:ilvl w:val="0"/>
                <w:numId w:val="0"/>
              </w:numPr>
              <w:ind w:left="0" w:firstLine="0"/>
              <w:jc w:val="center"/>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3.8</w:t>
            </w:r>
            <w:r>
              <w:rPr>
                <w:rFonts w:ascii="宋体" w:hAnsi="宋体" w:cs="宋体"/>
                <w:sz w:val="24"/>
                <w:szCs w:val="24"/>
                <w:highlight w:val="none"/>
                <w:lang w:val="en-US" w:eastAsia="zh-CN" w:bidi="ar-SA"/>
              </w:rPr>
            </w:r>
            <w:r/>
          </w:p>
        </w:tc>
        <w:tc>
          <w:tcPr>
            <w:tcW w:w="1462" w:type="dxa"/>
            <w:vAlign w:val="center"/>
            <w:textDirection w:val="lrTb"/>
            <w:noWrap w:val="false"/>
          </w:tcPr>
          <w:p>
            <w:pPr>
              <w:pStyle w:val="777"/>
              <w:ind w:left="0" w:firstLine="0"/>
              <w:jc w:val="center"/>
              <w:keepLines w:val="0"/>
              <w:keepNext w:val="0"/>
              <w:pageBreakBefore w:val="0"/>
              <w:spacing w:line="240" w:lineRule="auto"/>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监测人员、设备响应承诺书</w:t>
            </w:r>
            <w:r>
              <w:rPr>
                <w:rFonts w:ascii="宋体" w:hAnsi="宋体" w:eastAsia="宋体" w:cs="宋体"/>
                <w:sz w:val="24"/>
                <w:szCs w:val="20"/>
                <w:highlight w:val="none"/>
                <w:lang w:val="en-US" w:eastAsia="zh-CN" w:bidi="ar-SA"/>
              </w:rPr>
            </w:r>
            <w:r/>
          </w:p>
        </w:tc>
        <w:tc>
          <w:tcPr>
            <w:tcW w:w="791" w:type="dxa"/>
            <w:vAlign w:val="center"/>
            <w:textDirection w:val="lrTb"/>
            <w:noWrap w:val="false"/>
          </w:tcPr>
          <w:p>
            <w:pPr>
              <w:pStyle w:val="777"/>
              <w:ind w:left="0" w:firstLine="0"/>
              <w:jc w:val="center"/>
              <w:keepLines w:val="0"/>
              <w:keepNext w:val="0"/>
              <w:pageBreakBefore w:val="0"/>
              <w:spacing w:line="240" w:lineRule="auto"/>
              <w:rPr>
                <w:rFonts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w:t>
            </w:r>
            <w:r>
              <w:rPr>
                <w:rFonts w:ascii="宋体" w:hAnsi="宋体" w:eastAsia="宋体" w:cs="宋体"/>
                <w:sz w:val="24"/>
                <w:szCs w:val="20"/>
                <w:highlight w:val="none"/>
                <w:lang w:val="en-US" w:eastAsia="zh-CN" w:bidi="ar-SA"/>
              </w:rPr>
            </w:r>
            <w:r/>
          </w:p>
        </w:tc>
        <w:tc>
          <w:tcPr>
            <w:tcW w:w="4305" w:type="dxa"/>
            <w:vAlign w:val="center"/>
            <w:textDirection w:val="lrTb"/>
            <w:noWrap w:val="false"/>
          </w:tcPr>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承诺派驻四名及以上具有废水、废气及噪声采样资质的监测人员、并配备相应的采样器材、采样后能在一小时内进行实验室分析的得2分。</w:t>
            </w:r>
            <w:r>
              <w:rPr>
                <w:rFonts w:hint="eastAsia" w:ascii="宋体" w:hAnsi="宋体" w:eastAsia="宋体" w:cs="宋体"/>
                <w:sz w:val="24"/>
                <w:highlight w:val="none"/>
                <w:lang w:val="en-US" w:eastAsia="zh-CN"/>
              </w:rPr>
            </w:r>
            <w:r/>
          </w:p>
          <w:p>
            <w:pPr>
              <w:pStyle w:val="1033"/>
              <w:numPr>
                <w:ilvl w:val="0"/>
                <w:numId w:val="0"/>
              </w:numPr>
              <w:ind w:left="0" w:firstLine="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注：提供加盖公章的有效承诺书（格式自定），未在承诺时间内监测响应，招标人有权取消其资格。</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7"/>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rHeight w:val="491"/>
        </w:trPr>
        <w:tc>
          <w:tcPr>
            <w:gridSpan w:val="2"/>
            <w:tcW w:w="2297" w:type="dxa"/>
            <w:vAlign w:val="center"/>
            <w:textDirection w:val="lrTb"/>
            <w:noWrap w:val="false"/>
          </w:tcPr>
          <w:p>
            <w:pPr>
              <w:pStyle w:val="777"/>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合计</w:t>
            </w:r>
            <w:r>
              <w:rPr>
                <w:rFonts w:ascii="Times New Roman" w:hAnsi="Times New Roman" w:eastAsia="宋体" w:cs="Times New Roman"/>
                <w:sz w:val="24"/>
                <w:highlight w:val="none"/>
              </w:rPr>
            </w:r>
            <w:r/>
          </w:p>
        </w:tc>
        <w:tc>
          <w:tcPr>
            <w:tcW w:w="791" w:type="dxa"/>
            <w:vAlign w:val="center"/>
            <w:textDirection w:val="lrTb"/>
            <w:noWrap w:val="false"/>
          </w:tcPr>
          <w:p>
            <w:pPr>
              <w:pStyle w:val="777"/>
              <w:jc w:val="center"/>
              <w:rPr>
                <w:rFonts w:hint="eastAsia" w:ascii="宋体" w:hAnsi="宋体" w:eastAsia="宋体" w:cs="宋体"/>
                <w:sz w:val="24"/>
                <w:highlight w:val="none"/>
              </w:rPr>
            </w:pPr>
            <w:r>
              <w:rPr>
                <w:rFonts w:hint="eastAsia" w:ascii="宋体" w:hAnsi="宋体" w:eastAsia="宋体" w:cs="宋体"/>
                <w:sz w:val="24"/>
                <w:highlight w:val="none"/>
              </w:rPr>
              <w:t xml:space="preserve">100</w:t>
            </w:r>
            <w:r>
              <w:rPr>
                <w:rFonts w:hint="eastAsia" w:ascii="宋体" w:hAnsi="宋体" w:eastAsia="宋体" w:cs="宋体"/>
                <w:sz w:val="24"/>
                <w:highlight w:val="none"/>
              </w:rPr>
            </w:r>
            <w:r/>
          </w:p>
        </w:tc>
        <w:tc>
          <w:tcPr>
            <w:gridSpan w:val="2"/>
            <w:tcW w:w="6540" w:type="dxa"/>
            <w:vAlign w:val="center"/>
            <w:textDirection w:val="lrTb"/>
            <w:noWrap w:val="false"/>
          </w:tcPr>
          <w:p>
            <w:pPr>
              <w:pStyle w:val="777"/>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pStyle w:val="777"/>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777"/>
        <w:jc w:val="center"/>
        <w:spacing w:line="360" w:lineRule="auto"/>
        <w:rPr>
          <w:b/>
          <w:sz w:val="36"/>
          <w:szCs w:val="36"/>
          <w:highlight w:val="none"/>
        </w:rPr>
        <w:outlineLvl w:val="0"/>
      </w:pPr>
      <w:r>
        <w:rPr>
          <w:b/>
          <w:sz w:val="36"/>
          <w:szCs w:val="36"/>
          <w:highlight w:val="none"/>
        </w:rPr>
        <w:br w:type="page" w:clear="all"/>
      </w:r>
      <w:bookmarkStart w:id="805" w:name="_Toc99301424"/>
      <w:r>
        <w:rPr>
          <w:b/>
          <w:sz w:val="36"/>
          <w:szCs w:val="36"/>
          <w:highlight w:val="none"/>
        </w:rPr>
        <w:t xml:space="preserve">第五章   采购需求</w:t>
      </w:r>
      <w:bookmarkEnd w:id="805"/>
      <w:r>
        <w:rPr>
          <w:b/>
          <w:sz w:val="36"/>
          <w:szCs w:val="36"/>
          <w:highlight w:val="none"/>
        </w:rPr>
      </w:r>
      <w:r/>
    </w:p>
    <w:p>
      <w:pPr>
        <w:pStyle w:val="777"/>
        <w:contextualSpacing/>
        <w:spacing w:line="360" w:lineRule="auto"/>
        <w:rPr>
          <w:sz w:val="24"/>
          <w:highlight w:val="none"/>
        </w:rPr>
      </w:pPr>
      <w:r>
        <w:rPr>
          <w:sz w:val="24"/>
          <w:highlight w:val="none"/>
        </w:rPr>
      </w:r>
      <w:r/>
    </w:p>
    <w:p>
      <w:pPr>
        <w:pStyle w:val="777"/>
        <w:pageBreakBefore w:val="0"/>
        <w:spacing w:line="360" w:lineRule="auto"/>
        <w:widowControl w:val="off"/>
        <w:rPr>
          <w:rFonts w:ascii="宋体" w:hAnsi="宋体" w:eastAsia="宋体" w:cs="宋体"/>
          <w:b/>
          <w:sz w:val="24"/>
          <w:highlight w:val="none"/>
          <w:lang w:val="en-US" w:eastAsia="zh-CN"/>
        </w:rPr>
      </w:pPr>
      <w:r>
        <w:rPr>
          <w:rFonts w:hint="eastAsia" w:ascii="宋体" w:hAnsi="宋体" w:cs="宋体"/>
          <w:b/>
          <w:sz w:val="24"/>
          <w:highlight w:val="none"/>
        </w:rPr>
        <w:t xml:space="preserve">一、</w:t>
      </w:r>
      <w:r>
        <w:rPr>
          <w:rFonts w:hint="eastAsia" w:ascii="宋体" w:hAnsi="宋体" w:cs="宋体"/>
          <w:b/>
          <w:sz w:val="24"/>
          <w:highlight w:val="none"/>
          <w:lang w:val="en-US" w:eastAsia="zh-CN"/>
        </w:rPr>
        <w:t xml:space="preserve">项目背景</w:t>
      </w:r>
      <w:r>
        <w:rPr>
          <w:rFonts w:ascii="宋体" w:hAnsi="宋体" w:eastAsia="宋体" w:cs="宋体"/>
          <w:b/>
          <w:sz w:val="24"/>
          <w:highlight w:val="none"/>
          <w:lang w:val="en-US" w:eastAsia="zh-CN"/>
        </w:rPr>
      </w:r>
      <w:r/>
    </w:p>
    <w:p>
      <w:pPr>
        <w:pStyle w:val="777"/>
        <w:ind w:firstLine="488"/>
        <w:keepLines w:val="0"/>
        <w:keepNext w:val="0"/>
        <w:pageBreakBefore w:val="0"/>
        <w:spacing w:line="360" w:lineRule="auto"/>
        <w:widowControl w:val="off"/>
        <w:rPr>
          <w:rFonts w:hint="eastAsia" w:ascii="宋体" w:hAnsi="宋体" w:cs="宋体"/>
          <w:spacing w:val="2"/>
          <w:sz w:val="24"/>
          <w:highlight w:val="none"/>
        </w:rPr>
      </w:pPr>
      <w:r>
        <w:rPr>
          <w:rFonts w:hint="eastAsia" w:ascii="宋体" w:hAnsi="宋体" w:cs="宋体"/>
          <w:spacing w:val="2"/>
          <w:sz w:val="24"/>
          <w:highlight w:val="none"/>
        </w:rPr>
        <w:t xml:space="preserve">为切实加强园区环境监控预警工作，全面推进园区环境监控预警能力建设，有效提升园区环境风险防范能力，及时精确掌握园区大气、水、地下水、土壤及底泥环境质量现状，为园区环境的管理提供更加科学的依据，需定期开展日常环境监测、大气VOCs污染物走航监测以及园区年度监测等工作。环境监测服务将为环境保护工作的开展提供重要的数据支撑，有利于优化园区环境保护工作，提高环境治理的效率。</w:t>
      </w:r>
      <w:r>
        <w:rPr>
          <w:rFonts w:hint="eastAsia" w:ascii="宋体" w:hAnsi="宋体" w:cs="宋体"/>
          <w:spacing w:val="2"/>
          <w:sz w:val="24"/>
          <w:highlight w:val="none"/>
        </w:rPr>
      </w:r>
      <w:r/>
    </w:p>
    <w:p>
      <w:pPr>
        <w:pStyle w:val="777"/>
        <w:numPr>
          <w:ilvl w:val="0"/>
          <w:numId w:val="14"/>
        </w:numPr>
        <w:keepLines w:val="0"/>
        <w:keepNext w:val="0"/>
        <w:pageBreakBefore w:val="0"/>
        <w:spacing w:line="360" w:lineRule="auto"/>
        <w:widowControl w:val="off"/>
        <w:rPr>
          <w:rFonts w:hint="eastAsia" w:ascii="宋体" w:hAnsi="宋体" w:cs="宋体"/>
          <w:b/>
          <w:sz w:val="24"/>
          <w:highlight w:val="none"/>
          <w:lang w:val="en-US" w:eastAsia="zh-CN"/>
        </w:rPr>
      </w:pPr>
      <w:r>
        <w:rPr>
          <w:rFonts w:hint="eastAsia" w:ascii="宋体" w:hAnsi="宋体" w:cs="宋体"/>
          <w:b/>
          <w:sz w:val="24"/>
          <w:highlight w:val="none"/>
          <w:lang w:val="en-US" w:eastAsia="zh-CN"/>
        </w:rPr>
        <w:t xml:space="preserve">预算金额：</w:t>
      </w:r>
      <w:r>
        <w:rPr>
          <w:rFonts w:hint="eastAsia" w:ascii="宋体" w:hAnsi="宋体" w:cs="宋体"/>
          <w:b/>
          <w:sz w:val="24"/>
          <w:highlight w:val="none"/>
          <w:lang w:val="en-US" w:eastAsia="zh-CN"/>
        </w:rPr>
      </w:r>
      <w:r/>
    </w:p>
    <w:p>
      <w:pPr>
        <w:pStyle w:val="777"/>
        <w:numPr>
          <w:ilvl w:val="0"/>
          <w:numId w:val="0"/>
        </w:numPr>
        <w:ind w:firstLine="48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本项目预算金额为300万元，其中采购包1预算金额为85万元，</w:t>
      </w:r>
      <w:r>
        <w:rPr>
          <w:rFonts w:hint="eastAsia" w:ascii="宋体" w:hAnsi="宋体" w:cs="宋体"/>
          <w:b w:val="0"/>
          <w:bCs/>
          <w:sz w:val="24"/>
          <w:highlight w:val="none"/>
          <w:lang w:val="en-US" w:eastAsia="zh-CN"/>
        </w:rPr>
        <w:t xml:space="preserve">采购包2预算金额为85万元，采购包3预算金额为85万元，采购包4预算金额为45万元</w:t>
      </w:r>
      <w:r>
        <w:rPr>
          <w:rFonts w:hint="eastAsia" w:ascii="宋体" w:hAnsi="宋体" w:cs="宋体"/>
          <w:b w:val="0"/>
          <w:bCs/>
          <w:sz w:val="24"/>
          <w:highlight w:val="none"/>
          <w:lang w:val="en-US" w:eastAsia="zh-CN"/>
        </w:rPr>
        <w:t xml:space="preserve">。</w:t>
      </w:r>
      <w:r>
        <w:rPr>
          <w:rFonts w:hint="eastAsia" w:ascii="宋体" w:hAnsi="宋体" w:cs="宋体"/>
          <w:b w:val="0"/>
          <w:bCs/>
          <w:sz w:val="24"/>
          <w:highlight w:val="none"/>
          <w:lang w:val="en-US" w:eastAsia="zh-CN"/>
        </w:rPr>
      </w:r>
      <w:r/>
    </w:p>
    <w:p>
      <w:pPr>
        <w:pStyle w:val="777"/>
        <w:numPr>
          <w:ilvl w:val="0"/>
          <w:numId w:val="0"/>
        </w:numPr>
        <w:ind w:firstLine="48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供应商可对本次招标项目中的 1 个采购包或全部采购包进行投标，每个投标人仅限中一个采购包。4个采购包同时评审，按采购包1 、采购包2、采购包3 、采购包4的顺序依次确定中标人，当出现 2 个及以上采购包第一中标候选人为同一单位时，按上述顺序确定中标采购包，其他采购包的中标候选资格自动失效，由该采购包的第二中标候选人自动升为第一中标候选人。</w:t>
      </w:r>
      <w:r>
        <w:rPr>
          <w:rFonts w:hint="eastAsia" w:ascii="宋体" w:hAnsi="宋体" w:cs="宋体"/>
          <w:b w:val="0"/>
          <w:bCs/>
          <w:sz w:val="24"/>
          <w:highlight w:val="none"/>
          <w:lang w:val="en-US" w:eastAsia="zh-CN"/>
        </w:rPr>
      </w:r>
      <w:r/>
    </w:p>
    <w:p>
      <w:pPr>
        <w:pStyle w:val="777"/>
        <w:numPr>
          <w:ilvl w:val="0"/>
          <w:numId w:val="0"/>
        </w:numPr>
        <w:pageBreakBefore w:val="0"/>
        <w:spacing w:line="360" w:lineRule="auto"/>
        <w:widowControl w:val="off"/>
        <w:rPr>
          <w:rFonts w:hint="eastAsia" w:ascii="宋体" w:hAnsi="宋体" w:cs="宋体"/>
          <w:b/>
          <w:sz w:val="24"/>
          <w:highlight w:val="none"/>
          <w:lang w:val="en-US" w:eastAsia="zh-CN"/>
        </w:rPr>
      </w:pPr>
      <w:r>
        <w:rPr>
          <w:rFonts w:hint="eastAsia" w:ascii="宋体" w:hAnsi="宋体" w:cs="宋体"/>
          <w:b w:val="0"/>
          <w:bCs/>
          <w:sz w:val="24"/>
          <w:highlight w:val="none"/>
          <w:lang w:val="en-US" w:eastAsia="zh-CN"/>
        </w:rPr>
        <w:t xml:space="preserve">三、</w:t>
      </w:r>
      <w:r>
        <w:rPr>
          <w:rFonts w:hint="eastAsia" w:ascii="宋体" w:hAnsi="宋体" w:cs="宋体"/>
          <w:b/>
          <w:sz w:val="24"/>
          <w:highlight w:val="none"/>
          <w:lang w:val="en-US" w:eastAsia="zh-CN"/>
        </w:rPr>
        <w:t xml:space="preserve">最高限价：</w:t>
      </w:r>
      <w:r>
        <w:rPr>
          <w:rFonts w:hint="eastAsia" w:ascii="宋体" w:hAnsi="宋体" w:cs="宋体"/>
          <w:b/>
          <w:sz w:val="24"/>
          <w:highlight w:val="none"/>
          <w:lang w:val="en-US" w:eastAsia="zh-CN"/>
        </w:rPr>
      </w:r>
      <w:r/>
    </w:p>
    <w:p>
      <w:pPr>
        <w:pStyle w:val="777"/>
        <w:numPr>
          <w:ilvl w:val="0"/>
          <w:numId w:val="0"/>
        </w:numPr>
        <w:ind w:firstLine="48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本项目以优惠率报价。</w:t>
      </w:r>
      <w:r>
        <w:rPr>
          <w:rFonts w:hint="eastAsia" w:ascii="宋体" w:hAnsi="宋体" w:eastAsia="宋体" w:cs="宋体"/>
          <w:b w:val="0"/>
          <w:bCs/>
          <w:sz w:val="24"/>
          <w:highlight w:val="none"/>
          <w:lang w:val="en-US" w:eastAsia="zh-CN"/>
        </w:rPr>
        <w:t xml:space="preserve">以《江苏省环境监测专业服务管理办法》、《江苏省环境监测专业服务收费标准》（苏价费[2006]397号）和《省物价局、省财政厅关于降低收费标准和实施收费减免的通知》（以下简称收费标准）为参照，</w:t>
      </w:r>
      <w:r>
        <w:rPr>
          <w:rFonts w:hint="eastAsia" w:ascii="宋体" w:hAnsi="宋体" w:cs="宋体"/>
          <w:b w:val="0"/>
          <w:bCs/>
          <w:sz w:val="24"/>
          <w:highlight w:val="none"/>
          <w:lang w:val="en-US" w:eastAsia="zh-CN"/>
        </w:rPr>
        <w:t xml:space="preserve">投标人报出优惠率，优惠率不得低于或等于</w:t>
      </w:r>
      <w:r>
        <w:rPr>
          <w:rFonts w:hint="eastAsia" w:ascii="宋体" w:hAnsi="宋体" w:cs="宋体"/>
          <w:b w:val="0"/>
          <w:bCs/>
          <w:sz w:val="24"/>
          <w:highlight w:val="none"/>
          <w:lang w:val="en-US" w:eastAsia="zh-CN"/>
        </w:rPr>
        <w:t xml:space="preserve">40%</w:t>
      </w:r>
      <w:r>
        <w:rPr>
          <w:rFonts w:hint="eastAsia" w:ascii="宋体" w:hAnsi="宋体" w:cs="宋体"/>
          <w:b w:val="0"/>
          <w:bCs/>
          <w:sz w:val="24"/>
          <w:highlight w:val="none"/>
          <w:lang w:val="en-US" w:eastAsia="zh-CN"/>
        </w:rPr>
        <w:t xml:space="preserve">，否则作为无效投标。实际结算金额以实际检测内容对照收费标准*（1-优惠率）进行结算。</w:t>
      </w:r>
      <w:r>
        <w:rPr>
          <w:rFonts w:hint="eastAsia" w:ascii="宋体" w:hAnsi="宋体" w:cs="宋体"/>
          <w:b w:val="0"/>
          <w:bCs/>
          <w:sz w:val="24"/>
          <w:highlight w:val="none"/>
          <w:lang w:val="en-US" w:eastAsia="zh-CN"/>
        </w:rPr>
      </w:r>
      <w:r/>
    </w:p>
    <w:p>
      <w:pPr>
        <w:pStyle w:val="777"/>
        <w:contextualSpacing/>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b/>
          <w:sz w:val="24"/>
          <w:highlight w:val="none"/>
          <w:lang w:val="en-US" w:eastAsia="zh-CN"/>
        </w:rPr>
        <w:t xml:space="preserve">四、</w:t>
      </w:r>
      <w:r>
        <w:rPr>
          <w:rFonts w:hint="eastAsia" w:ascii="宋体" w:hAnsi="宋体" w:cs="宋体"/>
          <w:b/>
          <w:sz w:val="24"/>
          <w:highlight w:val="none"/>
        </w:rPr>
        <w:t xml:space="preserve">服务期限</w:t>
      </w:r>
      <w:r>
        <w:rPr>
          <w:rFonts w:hint="eastAsia" w:ascii="宋体" w:hAnsi="宋体" w:eastAsia="宋体" w:cs="宋体"/>
          <w:b/>
          <w:sz w:val="24"/>
          <w:highlight w:val="none"/>
          <w:lang w:val="en-US" w:eastAsia="zh-CN"/>
        </w:rPr>
        <w:t xml:space="preserve">：壹年，具体以采购人指令为准。</w:t>
      </w:r>
      <w:r>
        <w:rPr>
          <w:rFonts w:hint="eastAsia" w:ascii="宋体" w:hAnsi="宋体" w:cs="宋体"/>
          <w:spacing w:val="2"/>
          <w:sz w:val="24"/>
          <w:highlight w:val="none"/>
          <w:lang w:val="en-US" w:eastAsia="zh-CN"/>
        </w:rPr>
      </w:r>
      <w:r/>
    </w:p>
    <w:p>
      <w:pPr>
        <w:pStyle w:val="777"/>
        <w:numPr>
          <w:ilvl w:val="0"/>
          <w:numId w:val="0"/>
        </w:numPr>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eastAsia="宋体" w:cs="宋体"/>
          <w:b/>
          <w:sz w:val="24"/>
          <w:highlight w:val="none"/>
          <w:lang w:val="en-US" w:eastAsia="zh-CN"/>
        </w:rPr>
        <w:t xml:space="preserve">五、质量</w:t>
      </w:r>
      <w:r>
        <w:rPr>
          <w:rFonts w:hint="eastAsia" w:ascii="宋体" w:hAnsi="宋体" w:cs="宋体"/>
          <w:b/>
          <w:sz w:val="24"/>
          <w:highlight w:val="none"/>
          <w:lang w:val="en-US" w:eastAsia="zh-CN"/>
        </w:rPr>
        <w:t xml:space="preserve">要求：合格，满足采购人要求</w:t>
      </w:r>
      <w:r>
        <w:rPr>
          <w:rFonts w:hint="eastAsia" w:ascii="宋体" w:hAnsi="宋体" w:cs="宋体"/>
          <w:spacing w:val="2"/>
          <w:sz w:val="24"/>
          <w:highlight w:val="none"/>
          <w:lang w:val="en-US" w:eastAsia="zh-CN"/>
        </w:rPr>
        <w:t xml:space="preserve">。</w:t>
      </w:r>
      <w:r>
        <w:rPr>
          <w:rFonts w:hint="eastAsia" w:ascii="宋体" w:hAnsi="宋体" w:cs="宋体"/>
          <w:spacing w:val="2"/>
          <w:sz w:val="24"/>
          <w:highlight w:val="none"/>
          <w:lang w:val="en-US" w:eastAsia="zh-CN"/>
        </w:rPr>
      </w:r>
      <w:r/>
    </w:p>
    <w:p>
      <w:pPr>
        <w:pStyle w:val="777"/>
        <w:numPr>
          <w:ilvl w:val="0"/>
          <w:numId w:val="0"/>
        </w:numPr>
        <w:pageBreakBefore w:val="0"/>
        <w:spacing w:line="360" w:lineRule="auto"/>
        <w:widowControl w:val="off"/>
        <w:rPr>
          <w:rFonts w:ascii="宋体" w:hAnsi="宋体" w:cs="宋体"/>
          <w:b/>
          <w:sz w:val="24"/>
          <w:highlight w:val="none"/>
          <w:lang w:val="en-US" w:eastAsia="zh-CN"/>
        </w:rPr>
      </w:pPr>
      <w:r>
        <w:rPr>
          <w:rFonts w:hint="eastAsia" w:ascii="宋体" w:hAnsi="宋体" w:cs="宋体"/>
          <w:b/>
          <w:sz w:val="24"/>
          <w:highlight w:val="none"/>
          <w:lang w:val="en-US" w:eastAsia="zh-CN"/>
        </w:rPr>
        <w:t xml:space="preserve">六、计划清单（所述任务安排均为暂估，最终以实际安排为准）</w:t>
      </w:r>
      <w:r>
        <w:rPr>
          <w:rFonts w:ascii="宋体" w:hAnsi="宋体" w:cs="宋体"/>
          <w:b/>
          <w:sz w:val="24"/>
          <w:highlight w:val="none"/>
          <w:lang w:val="en-US" w:eastAsia="zh-CN"/>
        </w:rPr>
      </w:r>
      <w:r/>
    </w:p>
    <w:p>
      <w:pPr>
        <w:pStyle w:val="777"/>
        <w:ind w:right="210" w:firstLine="480"/>
        <w:jc w:val="left"/>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本项目采购内容为2026年滨开区生态环境监测服务项目，包括滨开区辖区内河道、泵站、沟渠等水环境质量日常巡查监测，信访调处监测、环境专项监督监测、环境监管重点单位监督监测、应急及临时性监测、企业污染源监测，长江、太湖入河排口等水质监测，大气、水质自动站运维监督和质控核查，新材料产业园年度环境质量监测、</w:t>
      </w:r>
      <w:r>
        <w:rPr>
          <w:rFonts w:hint="eastAsia" w:ascii="宋体" w:hAnsi="宋体" w:cs="宋体"/>
          <w:spacing w:val="2"/>
          <w:sz w:val="24"/>
          <w:highlight w:val="none"/>
          <w:lang w:eastAsia="zh-CN"/>
        </w:rPr>
        <w:t xml:space="preserve">大气VOCs污染物走航监测</w:t>
      </w:r>
      <w:r>
        <w:rPr>
          <w:rFonts w:hint="eastAsia" w:ascii="Times New Roman" w:hAnsi="Times New Roman" w:eastAsia="宋体" w:cs="Times New Roman"/>
          <w:sz w:val="24"/>
          <w:highlight w:val="none"/>
          <w:lang w:val="en-US" w:eastAsia="zh-CN"/>
        </w:rPr>
        <w:t xml:space="preserve">等。主要针对环境管理、企业监督需要的监测工作。</w:t>
      </w:r>
      <w:r>
        <w:rPr>
          <w:rFonts w:hint="eastAsia" w:ascii="Times New Roman" w:hAnsi="Times New Roman" w:eastAsia="宋体" w:cs="Times New Roman"/>
          <w:sz w:val="24"/>
          <w:highlight w:val="none"/>
          <w:lang w:val="en-US" w:eastAsia="zh-CN"/>
        </w:rPr>
      </w:r>
      <w:r/>
    </w:p>
    <w:p>
      <w:pPr>
        <w:pStyle w:val="777"/>
        <w:ind w:right="210" w:firstLine="480"/>
        <w:jc w:val="left"/>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采购包一：对滨开区辖区内的河道、泵站、沟渠等水环境开展日常巡查监测及监测数据综合分析。主要针滨开区辖区内的河道、泵站、沟渠等水环境开展日常巡查监测，具体业务量由江苏常州滨江经济开发区管理委员会根据实际情况确定，完成后按确认的业务量核算</w:t>
      </w:r>
      <w:r>
        <w:rPr>
          <w:rFonts w:hint="eastAsia" w:ascii="宋体" w:hAnsi="宋体" w:cs="宋体"/>
          <w:bCs/>
          <w:sz w:val="24"/>
          <w:highlight w:val="none"/>
          <w:lang w:eastAsia="zh-CN"/>
        </w:rPr>
        <w:t xml:space="preserve">。</w:t>
      </w:r>
      <w:r>
        <w:rPr>
          <w:rFonts w:hint="eastAsia" w:ascii="Times New Roman" w:hAnsi="Times New Roman" w:eastAsia="宋体" w:cs="Times New Roman"/>
          <w:sz w:val="24"/>
          <w:highlight w:val="none"/>
          <w:lang w:val="en-US" w:eastAsia="zh-CN"/>
        </w:rPr>
      </w:r>
      <w:r/>
    </w:p>
    <w:p>
      <w:pPr>
        <w:pStyle w:val="777"/>
        <w:ind w:right="210" w:firstLine="480"/>
        <w:jc w:val="left"/>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采购包二：滨开区辖区内的信访调处监测、环境专项检查及环境应急监测、环境监管重点单位监督监测及监测数据综合分析</w:t>
      </w:r>
      <w:r>
        <w:rPr>
          <w:rFonts w:hint="eastAsia" w:ascii="宋体" w:hAnsi="宋体" w:cs="宋体"/>
          <w:bCs/>
          <w:sz w:val="24"/>
          <w:highlight w:val="none"/>
          <w:lang w:eastAsia="zh-CN"/>
        </w:rPr>
        <w:t xml:space="preserve">。要针对滨开区对于辖区企业管理的需求，开展的信访处理、专项检查监测、应急监测等，具体业务量由江苏常州滨江经济开发区管理委员会根据实际情况确定，完成后按确认的业务量核算。</w:t>
      </w:r>
      <w:r>
        <w:rPr>
          <w:rFonts w:hint="eastAsia" w:ascii="Times New Roman" w:hAnsi="Times New Roman" w:eastAsia="宋体" w:cs="Times New Roman"/>
          <w:sz w:val="24"/>
          <w:highlight w:val="none"/>
          <w:lang w:val="en-US" w:eastAsia="zh-CN"/>
        </w:rPr>
      </w:r>
      <w:r/>
    </w:p>
    <w:p>
      <w:pPr>
        <w:pStyle w:val="777"/>
        <w:ind w:right="210" w:firstLine="480"/>
        <w:jc w:val="left"/>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采购包三：滨开区辖区内企业污染源监督监测，</w:t>
      </w:r>
      <w:r>
        <w:rPr>
          <w:rFonts w:hint="eastAsia" w:ascii="宋体" w:hAnsi="宋体" w:cs="宋体"/>
          <w:spacing w:val="2"/>
          <w:sz w:val="24"/>
          <w:highlight w:val="none"/>
          <w:lang w:eastAsia="zh-CN"/>
        </w:rPr>
        <w:t xml:space="preserve">大气VOCs污染物走航监测，</w:t>
      </w:r>
      <w:r>
        <w:rPr>
          <w:rFonts w:hint="eastAsia" w:ascii="Times New Roman" w:hAnsi="Times New Roman" w:eastAsia="宋体" w:cs="Times New Roman"/>
          <w:sz w:val="24"/>
          <w:highlight w:val="none"/>
          <w:lang w:val="en-US" w:eastAsia="zh-CN"/>
        </w:rPr>
        <w:t xml:space="preserve">长江、太湖入河排口的水质监测，大气、水质自动站运维监督和质控核查及监测数据综合分析。</w:t>
      </w:r>
      <w:r>
        <w:rPr>
          <w:rFonts w:hint="eastAsia" w:ascii="宋体" w:hAnsi="宋体" w:cs="宋体"/>
          <w:bCs/>
          <w:sz w:val="24"/>
          <w:highlight w:val="none"/>
          <w:lang w:eastAsia="zh-CN"/>
        </w:rPr>
        <w:t xml:space="preserve">主要针对</w:t>
      </w:r>
      <w:r>
        <w:rPr>
          <w:rFonts w:hint="eastAsia" w:ascii="宋体" w:hAnsi="宋体" w:cs="宋体"/>
          <w:bCs/>
          <w:sz w:val="24"/>
          <w:highlight w:val="none"/>
          <w:lang w:val="en-US" w:eastAsia="zh-CN"/>
        </w:rPr>
        <w:t xml:space="preserve">滨开区部分</w:t>
      </w:r>
      <w:r>
        <w:rPr>
          <w:rFonts w:hint="eastAsia" w:ascii="宋体" w:hAnsi="宋体" w:cs="宋体"/>
          <w:bCs/>
          <w:sz w:val="24"/>
          <w:highlight w:val="none"/>
          <w:lang w:eastAsia="zh-CN"/>
        </w:rPr>
        <w:t xml:space="preserve">断面</w:t>
      </w:r>
      <w:r>
        <w:rPr>
          <w:rFonts w:hint="eastAsia" w:ascii="宋体" w:hAnsi="宋体" w:cs="宋体"/>
          <w:bCs/>
          <w:sz w:val="24"/>
          <w:highlight w:val="none"/>
          <w:lang w:val="en-US" w:eastAsia="zh-CN"/>
        </w:rPr>
        <w:t xml:space="preserve">水质</w:t>
      </w:r>
      <w:r>
        <w:rPr>
          <w:rFonts w:hint="eastAsia" w:ascii="宋体" w:hAnsi="宋体" w:cs="宋体"/>
          <w:bCs/>
          <w:sz w:val="24"/>
          <w:highlight w:val="none"/>
          <w:lang w:eastAsia="zh-CN"/>
        </w:rPr>
        <w:t xml:space="preserve">监测、入河排污口专项监测以及其它临时性地表水水质监测；大气VOCs污染物走航监测，摸排污染高值区域、重点特征污染物和重点源，了解VOCs空间分布特征，服务污染溯源分析，通过对走航监测数据综合分析，进一步提高</w:t>
      </w:r>
      <w:r>
        <w:rPr>
          <w:rFonts w:hint="eastAsia" w:ascii="宋体" w:hAnsi="宋体" w:cs="宋体"/>
          <w:bCs/>
          <w:sz w:val="24"/>
          <w:highlight w:val="none"/>
          <w:lang w:val="en-US" w:eastAsia="zh-CN"/>
        </w:rPr>
        <w:t xml:space="preserve">园区管理能力</w:t>
      </w:r>
      <w:r>
        <w:rPr>
          <w:rFonts w:hint="eastAsia" w:ascii="宋体" w:hAnsi="宋体" w:cs="宋体"/>
          <w:bCs/>
          <w:sz w:val="24"/>
          <w:highlight w:val="none"/>
          <w:lang w:eastAsia="zh-CN"/>
        </w:rPr>
        <w:t xml:space="preserve">；</w:t>
      </w:r>
      <w:r>
        <w:rPr>
          <w:rFonts w:hint="eastAsia" w:ascii="宋体" w:hAnsi="宋体" w:cs="宋体"/>
          <w:bCs/>
          <w:sz w:val="24"/>
          <w:highlight w:val="none"/>
          <w:lang w:eastAsia="zh-CN"/>
        </w:rPr>
        <w:t xml:space="preserve">大气走航监测部分</w:t>
      </w:r>
      <w:r>
        <w:rPr>
          <w:rFonts w:hint="eastAsia" w:ascii="宋体" w:hAnsi="宋体" w:cs="宋体"/>
          <w:bCs/>
          <w:sz w:val="24"/>
          <w:highlight w:val="none"/>
          <w:lang w:val="en-US" w:eastAsia="zh-CN"/>
        </w:rPr>
        <w:t xml:space="preserve">的价格为</w:t>
      </w:r>
      <w:r>
        <w:rPr>
          <w:rFonts w:hint="eastAsia" w:ascii="宋体" w:hAnsi="宋体" w:cs="宋体"/>
          <w:bCs/>
          <w:sz w:val="24"/>
          <w:highlight w:val="none"/>
          <w:lang w:eastAsia="zh-CN"/>
        </w:rPr>
        <w:t xml:space="preserve">2160元/小时（大气走航监测部分为固定价，结算价格不调整）</w:t>
      </w:r>
      <w:r>
        <w:rPr>
          <w:rFonts w:hint="eastAsia" w:ascii="宋体" w:hAnsi="宋体" w:cs="宋体"/>
          <w:bCs/>
          <w:sz w:val="24"/>
          <w:highlight w:val="none"/>
          <w:lang w:val="en-US" w:eastAsia="zh-CN"/>
        </w:rPr>
        <w:t xml:space="preserve">根据</w:t>
      </w:r>
      <w:r>
        <w:rPr>
          <w:rFonts w:hint="eastAsia" w:ascii="宋体" w:hAnsi="宋体" w:cs="宋体"/>
          <w:bCs/>
          <w:sz w:val="24"/>
          <w:highlight w:val="none"/>
          <w:lang w:eastAsia="zh-CN"/>
        </w:rPr>
        <w:t xml:space="preserve">滨开区对于辖区企业管理的需求，开展的</w:t>
      </w:r>
      <w:r>
        <w:rPr>
          <w:rFonts w:hint="eastAsia" w:ascii="宋体" w:hAnsi="宋体" w:cs="宋体"/>
          <w:bCs/>
          <w:sz w:val="24"/>
          <w:highlight w:val="none"/>
          <w:lang w:val="en-US" w:eastAsia="zh-CN"/>
        </w:rPr>
        <w:t xml:space="preserve">监督</w:t>
      </w:r>
      <w:r>
        <w:rPr>
          <w:rFonts w:hint="eastAsia" w:ascii="宋体" w:hAnsi="宋体" w:cs="宋体"/>
          <w:bCs/>
          <w:sz w:val="24"/>
          <w:highlight w:val="none"/>
          <w:lang w:eastAsia="zh-CN"/>
        </w:rPr>
        <w:t xml:space="preserve">监测，</w:t>
      </w:r>
      <w:r>
        <w:rPr>
          <w:rFonts w:hint="eastAsia" w:ascii="宋体" w:hAnsi="宋体" w:cs="宋体"/>
          <w:bCs/>
          <w:sz w:val="24"/>
          <w:highlight w:val="none"/>
          <w:lang w:val="en-US" w:eastAsia="zh-CN"/>
        </w:rPr>
        <w:t xml:space="preserve">以及对于滨开区辖区内的大气、水质自动监测站运维监督和质控核查等，</w:t>
      </w:r>
      <w:r>
        <w:rPr>
          <w:rFonts w:hint="eastAsia" w:ascii="宋体" w:hAnsi="宋体" w:cs="宋体"/>
          <w:bCs/>
          <w:sz w:val="24"/>
          <w:highlight w:val="none"/>
          <w:lang w:eastAsia="zh-CN"/>
        </w:rPr>
        <w:t xml:space="preserve">具体业务量由江苏常州滨江经济开发区管理委员会根据实际情况确定，完成后按确认的业务量核算。</w:t>
      </w:r>
      <w:r>
        <w:rPr>
          <w:rFonts w:hint="eastAsia" w:ascii="Times New Roman" w:hAnsi="Times New Roman" w:eastAsia="宋体" w:cs="Times New Roman"/>
          <w:sz w:val="24"/>
          <w:highlight w:val="none"/>
          <w:lang w:val="en-US" w:eastAsia="zh-CN"/>
        </w:rPr>
      </w:r>
      <w:r/>
    </w:p>
    <w:p>
      <w:pPr>
        <w:pStyle w:val="777"/>
        <w:ind w:right="210" w:firstLine="480"/>
        <w:jc w:val="left"/>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采购包四：</w:t>
      </w:r>
      <w:r>
        <w:rPr>
          <w:rFonts w:hint="eastAsia" w:ascii="宋体" w:hAnsi="宋体" w:cs="宋体"/>
          <w:bCs/>
          <w:sz w:val="24"/>
          <w:highlight w:val="none"/>
          <w:lang w:eastAsia="zh-CN"/>
        </w:rPr>
        <w:t xml:space="preserve">新材料产业园的年度环境质量监督监测及监测数据综合分析。</w:t>
      </w:r>
      <w:r>
        <w:rPr>
          <w:rFonts w:hint="eastAsia" w:cs="Times New Roman"/>
          <w:sz w:val="24"/>
          <w:highlight w:val="none"/>
          <w:lang w:val="en-US" w:eastAsia="zh-CN"/>
        </w:rPr>
        <w:t xml:space="preserve">主要</w:t>
      </w:r>
      <w:r>
        <w:rPr>
          <w:rFonts w:hint="eastAsia" w:ascii="Times New Roman" w:hAnsi="Times New Roman" w:eastAsia="宋体" w:cs="Times New Roman"/>
          <w:sz w:val="24"/>
          <w:highlight w:val="none"/>
          <w:lang w:val="en-US" w:eastAsia="zh-CN"/>
        </w:rPr>
        <w:t xml:space="preserve">对</w:t>
      </w:r>
      <w:r>
        <w:rPr>
          <w:rFonts w:hint="eastAsia" w:cs="Times New Roman"/>
          <w:sz w:val="24"/>
          <w:highlight w:val="none"/>
          <w:lang w:val="en-US" w:eastAsia="zh-CN"/>
        </w:rPr>
        <w:t xml:space="preserve">滨开区</w:t>
      </w:r>
      <w:r>
        <w:rPr>
          <w:rFonts w:ascii="Times New Roman" w:hAnsi="Times New Roman" w:eastAsia="宋体" w:cs="Times New Roman"/>
          <w:b w:val="0"/>
          <w:sz w:val="24"/>
          <w:szCs w:val="24"/>
          <w:highlight w:val="none"/>
          <w:u w:val="none"/>
          <w:lang w:val="en-US" w:eastAsia="zh-CN" w:bidi="ar-SA"/>
        </w:rPr>
        <w:t xml:space="preserve">新材料产业园</w:t>
      </w:r>
      <w:r>
        <w:rPr>
          <w:rFonts w:hint="eastAsia" w:ascii="Times New Roman" w:hAnsi="Times New Roman" w:eastAsia="宋体" w:cs="Times New Roman"/>
          <w:b w:val="0"/>
          <w:sz w:val="24"/>
          <w:szCs w:val="24"/>
          <w:highlight w:val="none"/>
          <w:u w:val="none"/>
          <w:lang w:val="en-US" w:eastAsia="zh-CN" w:bidi="ar-SA"/>
        </w:rPr>
        <w:t xml:space="preserve">的</w:t>
      </w:r>
      <w:r>
        <w:rPr>
          <w:rFonts w:ascii="Times New Roman" w:hAnsi="Times New Roman" w:eastAsia="宋体" w:cs="Times New Roman"/>
          <w:b w:val="0"/>
          <w:sz w:val="24"/>
          <w:szCs w:val="24"/>
          <w:highlight w:val="none"/>
          <w:u w:val="none"/>
          <w:lang w:val="en-US" w:eastAsia="zh-CN" w:bidi="ar-SA"/>
        </w:rPr>
        <w:t xml:space="preserve">年度</w:t>
      </w:r>
      <w:r>
        <w:rPr>
          <w:rFonts w:hint="eastAsia" w:cs="Times New Roman"/>
          <w:b w:val="0"/>
          <w:sz w:val="24"/>
          <w:szCs w:val="24"/>
          <w:highlight w:val="none"/>
          <w:u w:val="none"/>
          <w:lang w:val="en-US" w:eastAsia="zh-CN" w:bidi="ar-SA"/>
        </w:rPr>
        <w:t xml:space="preserve">环境质量</w:t>
      </w:r>
      <w:r>
        <w:rPr>
          <w:rFonts w:ascii="Times New Roman" w:hAnsi="Times New Roman" w:eastAsia="宋体" w:cs="Times New Roman"/>
          <w:b w:val="0"/>
          <w:sz w:val="24"/>
          <w:szCs w:val="24"/>
          <w:highlight w:val="none"/>
          <w:u w:val="none"/>
          <w:lang w:val="en-US" w:eastAsia="zh-CN" w:bidi="ar-SA"/>
        </w:rPr>
        <w:t xml:space="preserve">监督监测</w:t>
      </w:r>
      <w:r>
        <w:rPr>
          <w:rFonts w:hint="eastAsia" w:cs="Times New Roman"/>
          <w:b w:val="0"/>
          <w:sz w:val="24"/>
          <w:szCs w:val="24"/>
          <w:highlight w:val="none"/>
          <w:u w:val="none"/>
          <w:lang w:val="en-US" w:eastAsia="zh-CN" w:bidi="ar-SA"/>
        </w:rPr>
        <w:t xml:space="preserve">以及部分临时性监测等；</w:t>
      </w:r>
      <w:r>
        <w:rPr>
          <w:rFonts w:hint="eastAsia" w:ascii="宋体" w:hAnsi="宋体" w:cs="宋体"/>
          <w:bCs/>
          <w:sz w:val="24"/>
          <w:highlight w:val="none"/>
          <w:lang w:eastAsia="zh-CN"/>
        </w:rPr>
        <w:t xml:space="preserve">具体业务量由江苏常州滨江经济开发区管理委员会根据实际情况确定，完成后按确认的业务量核算。</w:t>
      </w:r>
      <w:r>
        <w:rPr>
          <w:rFonts w:hint="eastAsia" w:ascii="Times New Roman" w:hAnsi="Times New Roman" w:eastAsia="宋体" w:cs="Times New Roman"/>
          <w:sz w:val="24"/>
          <w:highlight w:val="none"/>
          <w:lang w:val="en-US" w:eastAsia="zh-CN"/>
        </w:rPr>
      </w:r>
      <w:r/>
    </w:p>
    <w:p>
      <w:pPr>
        <w:pStyle w:val="777"/>
        <w:ind w:right="210" w:firstLine="482"/>
        <w:jc w:val="left"/>
        <w:pageBreakBefore w:val="0"/>
        <w:spacing w:line="360" w:lineRule="auto"/>
        <w:widowControl w:val="off"/>
        <w:rPr>
          <w:rFonts w:hint="eastAsia" w:ascii="宋体" w:hAnsi="宋体" w:cs="宋体"/>
          <w:b/>
          <w:sz w:val="24"/>
          <w:highlight w:val="none"/>
        </w:rPr>
      </w:pPr>
      <w:r>
        <w:rPr>
          <w:rFonts w:hint="eastAsia" w:ascii="宋体" w:hAnsi="宋体" w:cs="宋体"/>
          <w:b/>
          <w:sz w:val="24"/>
          <w:highlight w:val="none"/>
          <w:lang w:val="en-US" w:eastAsia="zh-CN"/>
        </w:rPr>
        <w:t xml:space="preserve">七、</w:t>
      </w:r>
      <w:r>
        <w:rPr>
          <w:rFonts w:hint="eastAsia" w:ascii="宋体" w:hAnsi="宋体" w:cs="宋体"/>
          <w:b/>
          <w:sz w:val="24"/>
          <w:highlight w:val="none"/>
        </w:rPr>
        <w:t xml:space="preserve">报价方式</w:t>
      </w:r>
      <w:r>
        <w:rPr>
          <w:rFonts w:hint="eastAsia" w:ascii="宋体" w:hAnsi="宋体" w:cs="宋体"/>
          <w:b/>
          <w:sz w:val="24"/>
          <w:highlight w:val="none"/>
        </w:rPr>
      </w:r>
      <w:r/>
    </w:p>
    <w:p>
      <w:pPr>
        <w:pStyle w:val="777"/>
        <w:contextualSpacing/>
        <w:ind w:firstLine="480"/>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bookmarkStart w:id="806" w:name="_Toc3846"/>
      <w:r>
        <w:rPr>
          <w:rFonts w:hint="eastAsia" w:ascii="Times New Roman" w:hAnsi="Times New Roman" w:eastAsia="宋体" w:cs="Times New Roman"/>
          <w:sz w:val="24"/>
          <w:highlight w:val="none"/>
          <w:lang w:val="en-US" w:eastAsia="zh-CN"/>
        </w:rPr>
        <w:t xml:space="preserve">1、本项目以优惠率报价，投标人报价时，应综合考虑完成本项目所需的全部服务成本、企业利润、税金和政策性文件规定及合同包含的所有风险、责任等各项应有费用；</w:t>
      </w:r>
      <w:r>
        <w:rPr>
          <w:rFonts w:hint="eastAsia" w:ascii="Times New Roman" w:hAnsi="Times New Roman" w:eastAsia="宋体" w:cs="Times New Roman"/>
          <w:b/>
          <w:bCs/>
          <w:sz w:val="24"/>
          <w:highlight w:val="none"/>
          <w:lang w:val="en-US" w:eastAsia="zh-CN"/>
        </w:rPr>
        <w:t xml:space="preserve">含采样、分析所需相关人工费用（节假日、双休日等综合在内），采样、分析所需车辆运输费用，对场地进行测绘定点和点位复测、标高测量及地质勘探的测点费用，测点、采样机械进出场费用，水样采集井、地下样品采集含相应采样耗材等包括但不限于以上的全部从采样到出报告的全部费用，均含在本次报价中，不再另行计取;</w:t>
      </w:r>
      <w:r>
        <w:rPr>
          <w:rFonts w:hint="eastAsia" w:ascii="Times New Roman" w:hAnsi="Times New Roman" w:eastAsia="宋体" w:cs="Times New Roman"/>
          <w:b/>
          <w:bCs/>
          <w:sz w:val="24"/>
          <w:highlight w:val="none"/>
          <w:lang w:val="zh-CN" w:eastAsia="zh-CN"/>
        </w:rPr>
        <w:t xml:space="preserve">出具包括但不限于满足委甲方要求，符合相应规范的书面报告；</w:t>
      </w:r>
      <w:r>
        <w:rPr>
          <w:rFonts w:hint="eastAsia" w:ascii="Times New Roman" w:hAnsi="Times New Roman" w:eastAsia="宋体" w:cs="Times New Roman"/>
          <w:b/>
          <w:bCs/>
          <w:sz w:val="24"/>
          <w:highlight w:val="none"/>
          <w:lang w:val="en-US" w:eastAsia="zh-CN"/>
        </w:rPr>
        <w:t xml:space="preserve">最终按委托方签证及报告中的检测内容结算费用，收费标准中未单列收费的，招标人不另行给予计取费用。</w:t>
      </w:r>
      <w:r>
        <w:rPr>
          <w:rFonts w:hint="eastAsia" w:ascii="Times New Roman" w:hAnsi="Times New Roman" w:eastAsia="宋体" w:cs="Times New Roman"/>
          <w:sz w:val="24"/>
          <w:highlight w:val="none"/>
          <w:lang w:val="en-US" w:eastAsia="zh-CN"/>
        </w:rPr>
      </w:r>
      <w:r/>
    </w:p>
    <w:p>
      <w:pPr>
        <w:pStyle w:val="777"/>
        <w:jc w:val="both"/>
        <w:keepLines w:val="0"/>
        <w:keepNext w:val="0"/>
        <w:widowControl/>
        <w:rPr>
          <w:b/>
          <w:sz w:val="36"/>
          <w:szCs w:val="36"/>
          <w:highlight w:val="none"/>
        </w:rPr>
        <w:suppressLineNumbers w:val="0"/>
      </w:pPr>
      <w:r/>
      <w:bookmarkEnd w:id="806"/>
      <w:r>
        <w:rPr>
          <w:b/>
          <w:sz w:val="36"/>
          <w:szCs w:val="36"/>
          <w:highlight w:val="none"/>
        </w:rPr>
        <w:br w:type="page" w:clear="all"/>
      </w:r>
      <w:r>
        <w:rPr>
          <w:b/>
          <w:sz w:val="36"/>
          <w:szCs w:val="36"/>
          <w:highlight w:val="none"/>
        </w:rPr>
        <w:t xml:space="preserve"> </w:t>
      </w:r>
      <w:r>
        <w:rPr>
          <w:b/>
          <w:sz w:val="36"/>
          <w:szCs w:val="36"/>
          <w:highlight w:val="none"/>
        </w:rPr>
      </w:r>
      <w:r/>
    </w:p>
    <w:p>
      <w:pPr>
        <w:pStyle w:val="777"/>
        <w:jc w:val="center"/>
        <w:spacing w:line="360" w:lineRule="auto"/>
        <w:rPr>
          <w:b/>
          <w:sz w:val="36"/>
          <w:szCs w:val="36"/>
          <w:highlight w:val="none"/>
        </w:rPr>
        <w:outlineLvl w:val="0"/>
      </w:pPr>
      <w:r/>
      <w:bookmarkStart w:id="807" w:name="_Toc99301425"/>
      <w:r>
        <w:rPr>
          <w:b/>
          <w:sz w:val="36"/>
          <w:szCs w:val="36"/>
          <w:highlight w:val="none"/>
        </w:rPr>
        <w:t xml:space="preserve">第六章   拟签订的合同文本</w:t>
      </w:r>
      <w:bookmarkEnd w:id="807"/>
      <w:r>
        <w:rPr>
          <w:b/>
          <w:sz w:val="36"/>
          <w:szCs w:val="36"/>
          <w:highlight w:val="none"/>
        </w:rPr>
      </w:r>
      <w:r/>
    </w:p>
    <w:p>
      <w:pPr>
        <w:pStyle w:val="777"/>
        <w:spacing w:line="360" w:lineRule="auto"/>
        <w:tabs>
          <w:tab w:val="left" w:pos="900" w:leader="none"/>
          <w:tab w:val="left" w:pos="1080" w:leader="none"/>
        </w:tabs>
        <w:rPr>
          <w:sz w:val="18"/>
          <w:szCs w:val="18"/>
          <w:highlight w:val="none"/>
        </w:rPr>
      </w:pPr>
      <w:r>
        <w:rPr>
          <w:sz w:val="18"/>
          <w:szCs w:val="18"/>
          <w:highlight w:val="none"/>
        </w:rPr>
      </w:r>
      <w:r/>
    </w:p>
    <w:p>
      <w:pPr>
        <w:pStyle w:val="777"/>
        <w:jc w:val="center"/>
        <w:spacing w:line="500" w:lineRule="exact"/>
        <w:tabs>
          <w:tab w:val="left" w:pos="0" w:leader="none"/>
          <w:tab w:val="left" w:pos="993" w:leader="none"/>
          <w:tab w:val="left" w:pos="1134" w:leader="none"/>
        </w:tabs>
        <w:rPr>
          <w:rFonts w:hint="eastAsia" w:ascii="宋体" w:hAnsi="宋体"/>
          <w:b/>
          <w:sz w:val="24"/>
          <w:highlight w:val="none"/>
        </w:rPr>
      </w:pPr>
      <w:r>
        <w:rPr>
          <w:rFonts w:hint="eastAsia" w:ascii="宋体" w:hAnsi="宋体"/>
          <w:b/>
          <w:sz w:val="24"/>
          <w:highlight w:val="none"/>
        </w:rPr>
        <w:t xml:space="preserve">（以</w:t>
      </w:r>
      <w:r>
        <w:rPr>
          <w:rFonts w:hint="eastAsia" w:ascii="宋体" w:hAnsi="宋体"/>
          <w:b/>
          <w:sz w:val="24"/>
          <w:highlight w:val="none"/>
          <w:lang w:val="en-US" w:eastAsia="zh-CN"/>
        </w:rPr>
        <w:t xml:space="preserve">采购</w:t>
      </w:r>
      <w:r>
        <w:rPr>
          <w:rFonts w:hint="eastAsia" w:ascii="宋体" w:hAnsi="宋体"/>
          <w:b/>
          <w:sz w:val="24"/>
          <w:highlight w:val="none"/>
        </w:rPr>
        <w:t xml:space="preserve">人提供的合同为准）</w:t>
      </w:r>
      <w:bookmarkStart w:id="808" w:name="_Hlk75944811"/>
      <w:r>
        <w:rPr>
          <w:rFonts w:hint="eastAsia" w:ascii="宋体" w:hAnsi="宋体"/>
          <w:b/>
          <w:sz w:val="24"/>
          <w:highlight w:val="none"/>
        </w:rPr>
      </w:r>
      <w:r/>
    </w:p>
    <w:p>
      <w:pPr>
        <w:pStyle w:val="777"/>
        <w:jc w:val="center"/>
        <w:spacing w:line="500" w:lineRule="exact"/>
        <w:tabs>
          <w:tab w:val="left" w:pos="0" w:leader="none"/>
          <w:tab w:val="left" w:pos="993" w:leader="none"/>
          <w:tab w:val="left" w:pos="1134" w:leader="none"/>
        </w:tabs>
        <w:rPr>
          <w:rFonts w:hint="eastAsia" w:ascii="宋体" w:hAnsi="宋体"/>
          <w:b/>
          <w:sz w:val="24"/>
          <w:highlight w:val="none"/>
        </w:rPr>
      </w:pPr>
      <w:r>
        <w:rPr>
          <w:rFonts w:hint="eastAsia" w:ascii="宋体" w:hAnsi="宋体"/>
          <w:b/>
          <w:sz w:val="24"/>
          <w:highlight w:val="none"/>
        </w:rPr>
      </w:r>
      <w:r/>
    </w:p>
    <w:p>
      <w:pPr>
        <w:pStyle w:val="777"/>
        <w:jc w:val="center"/>
        <w:spacing w:line="500" w:lineRule="exact"/>
        <w:tabs>
          <w:tab w:val="left" w:pos="0" w:leader="none"/>
          <w:tab w:val="left" w:pos="993" w:leader="none"/>
          <w:tab w:val="left" w:pos="1134" w:leader="none"/>
        </w:tabs>
        <w:rPr>
          <w:rFonts w:ascii="宋体" w:hAnsi="宋体"/>
          <w:color w:val="000000"/>
          <w:sz w:val="48"/>
          <w:szCs w:val="48"/>
          <w:highlight w:val="none"/>
        </w:rPr>
      </w:pPr>
      <w:r>
        <w:rPr>
          <w:rFonts w:hint="eastAsia" w:ascii="宋体" w:hAnsi="宋体"/>
          <w:color w:val="000000"/>
          <w:sz w:val="48"/>
          <w:szCs w:val="48"/>
          <w:highlight w:val="none"/>
        </w:rPr>
        <w:t xml:space="preserve">技 术 服 务 合 同</w:t>
      </w:r>
      <w:r>
        <w:rPr>
          <w:rFonts w:ascii="宋体" w:hAnsi="宋体"/>
          <w:color w:val="000000"/>
          <w:sz w:val="48"/>
          <w:szCs w:val="48"/>
          <w:highlight w:val="none"/>
        </w:rPr>
      </w:r>
      <w:r/>
    </w:p>
    <w:p>
      <w:pPr>
        <w:pStyle w:val="777"/>
        <w:ind w:left="2560" w:hanging="2560"/>
        <w:jc w:val="center"/>
        <w:spacing w:line="360" w:lineRule="auto"/>
        <w:rPr>
          <w:rFonts w:ascii="宋体" w:hAnsi="宋体"/>
          <w:color w:val="000000"/>
          <w:sz w:val="32"/>
          <w:szCs w:val="32"/>
          <w:highlight w:val="none"/>
        </w:rPr>
      </w:pPr>
      <w:r>
        <w:rPr>
          <w:rFonts w:ascii="宋体" w:hAnsi="宋体"/>
          <w:color w:val="000000"/>
          <w:sz w:val="32"/>
          <w:szCs w:val="32"/>
          <w:highlight w:val="none"/>
        </w:rPr>
      </w:r>
      <w:r/>
    </w:p>
    <w:p>
      <w:pPr>
        <w:pStyle w:val="777"/>
        <w:ind w:left="2560" w:hanging="2560"/>
        <w:jc w:val="center"/>
        <w:spacing w:line="360" w:lineRule="auto"/>
        <w:rPr>
          <w:rFonts w:ascii="宋体" w:hAnsi="宋体"/>
          <w:color w:val="000000"/>
          <w:sz w:val="32"/>
          <w:szCs w:val="32"/>
          <w:highlight w:val="none"/>
        </w:rPr>
      </w:pPr>
      <w:r>
        <w:rPr>
          <w:rFonts w:ascii="宋体" w:hAnsi="宋体"/>
          <w:color w:val="000000"/>
          <w:sz w:val="32"/>
          <w:szCs w:val="32"/>
          <w:highlight w:val="none"/>
        </w:rPr>
      </w:r>
      <w:r/>
    </w:p>
    <w:p>
      <w:pPr>
        <w:pStyle w:val="777"/>
        <w:ind w:firstLine="840"/>
        <w:spacing w:before="780" w:line="360" w:lineRule="auto"/>
        <w:rPr>
          <w:rFonts w:ascii="宋体" w:hAnsi="宋体" w:eastAsia="宋体" w:cs="Times New Roman"/>
          <w:color w:val="000000"/>
          <w:sz w:val="28"/>
          <w:szCs w:val="28"/>
          <w:highlight w:val="none"/>
          <w:u w:val="single"/>
          <w:lang w:val="en-US"/>
        </w:rPr>
      </w:pPr>
      <w:r>
        <w:rPr>
          <w:rFonts w:hint="eastAsia" w:ascii="宋体" w:hAnsi="宋体" w:eastAsia="宋体" w:cs="Times New Roman"/>
          <w:color w:val="000000"/>
          <w:sz w:val="28"/>
          <w:szCs w:val="28"/>
          <w:highlight w:val="none"/>
        </w:rPr>
        <w:t xml:space="preserve">项目名称: </w:t>
      </w:r>
      <w:r>
        <w:rPr>
          <w:rFonts w:hint="eastAsia" w:ascii="宋体" w:hAnsi="宋体" w:eastAsia="宋体" w:cs="Times New Roman"/>
          <w:color w:val="000000"/>
          <w:sz w:val="28"/>
          <w:szCs w:val="28"/>
          <w:highlight w:val="none"/>
          <w:u w:val="single"/>
          <w:lang w:val="en-US" w:eastAsia="zh-CN"/>
        </w:rPr>
        <w:t xml:space="preserve">     2</w:t>
      </w:r>
      <w:r>
        <w:rPr>
          <w:rFonts w:hint="eastAsia" w:ascii="宋体" w:hAnsi="宋体" w:eastAsia="宋体" w:cs="Times New Roman"/>
          <w:color w:val="000000"/>
          <w:sz w:val="28"/>
          <w:szCs w:val="28"/>
          <w:highlight w:val="none"/>
          <w:u w:val="single"/>
          <w:lang w:val="zh-CN" w:eastAsia="zh-CN"/>
        </w:rPr>
        <w:t xml:space="preserve">026年滨开区生态环境监测服务</w:t>
      </w:r>
      <w:r>
        <w:rPr>
          <w:rFonts w:hint="eastAsia" w:ascii="宋体" w:hAnsi="宋体" w:eastAsia="宋体" w:cs="Times New Roman"/>
          <w:color w:val="000000"/>
          <w:sz w:val="28"/>
          <w:szCs w:val="28"/>
          <w:highlight w:val="none"/>
          <w:u w:val="single"/>
          <w:lang w:val="en-US" w:eastAsia="zh-CN"/>
        </w:rPr>
        <w:t xml:space="preserve">     </w:t>
      </w:r>
      <w:r>
        <w:rPr>
          <w:rFonts w:ascii="宋体" w:hAnsi="宋体" w:eastAsia="宋体" w:cs="Times New Roman"/>
          <w:color w:val="000000"/>
          <w:sz w:val="28"/>
          <w:szCs w:val="28"/>
          <w:highlight w:val="none"/>
          <w:u w:val="single"/>
          <w:lang w:val="en-US"/>
        </w:rPr>
      </w:r>
      <w:r/>
    </w:p>
    <w:p>
      <w:pPr>
        <w:pStyle w:val="777"/>
        <w:ind w:firstLine="840"/>
        <w:spacing w:before="780" w:line="360" w:lineRule="auto"/>
        <w:rPr>
          <w:rFonts w:ascii="宋体" w:hAnsi="宋体" w:eastAsia="宋体" w:cs="Times New Roman"/>
          <w:color w:val="000000"/>
          <w:sz w:val="28"/>
          <w:szCs w:val="28"/>
          <w:highlight w:val="none"/>
          <w:u w:val="single"/>
          <w:lang w:val="en-US" w:eastAsia="zh-CN"/>
        </w:rPr>
      </w:pPr>
      <w:r>
        <w:rPr>
          <w:rFonts w:hint="eastAsia" w:ascii="宋体" w:hAnsi="宋体" w:eastAsia="宋体" w:cs="Times New Roman"/>
          <w:color w:val="000000"/>
          <w:sz w:val="28"/>
          <w:szCs w:val="28"/>
          <w:highlight w:val="none"/>
        </w:rPr>
        <w:t xml:space="preserve">委托人（甲方）：</w:t>
      </w:r>
      <w:r>
        <w:rPr>
          <w:rFonts w:hint="eastAsia" w:ascii="宋体" w:hAnsi="宋体" w:eastAsia="宋体" w:cs="Times New Roman"/>
          <w:color w:val="000000"/>
          <w:sz w:val="28"/>
          <w:szCs w:val="28"/>
          <w:highlight w:val="none"/>
          <w:u w:val="single"/>
          <w:lang w:val="en-US" w:eastAsia="zh-CN"/>
        </w:rPr>
        <w:t xml:space="preserve">江苏常州滨江经济开发区管理委员会 </w:t>
      </w:r>
      <w:r>
        <w:rPr>
          <w:rFonts w:ascii="宋体" w:hAnsi="宋体" w:eastAsia="宋体" w:cs="Times New Roman"/>
          <w:color w:val="000000"/>
          <w:sz w:val="28"/>
          <w:szCs w:val="28"/>
          <w:highlight w:val="none"/>
          <w:u w:val="single"/>
          <w:lang w:val="en-US" w:eastAsia="zh-CN"/>
        </w:rPr>
      </w:r>
      <w:r/>
    </w:p>
    <w:p>
      <w:pPr>
        <w:pStyle w:val="777"/>
        <w:ind w:firstLine="840"/>
        <w:spacing w:before="780" w:line="360" w:lineRule="auto"/>
        <w:rPr>
          <w:rFonts w:ascii="宋体" w:hAnsi="宋体"/>
          <w:color w:val="000000"/>
          <w:sz w:val="28"/>
          <w:szCs w:val="28"/>
          <w:highlight w:val="none"/>
          <w:u w:val="single"/>
        </w:rPr>
      </w:pPr>
      <w:r>
        <w:rPr>
          <w:rFonts w:hint="eastAsia" w:ascii="宋体" w:hAnsi="宋体" w:eastAsia="宋体" w:cs="Times New Roman"/>
          <w:color w:val="000000"/>
          <w:sz w:val="28"/>
          <w:szCs w:val="28"/>
          <w:highlight w:val="none"/>
        </w:rPr>
        <w:t xml:space="preserve">受托人（乙方）：</w:t>
      </w:r>
      <w:r>
        <w:rPr>
          <w:rFonts w:hint="eastAsia" w:ascii="宋体" w:hAnsi="宋体" w:eastAsia="宋体" w:cs="Times New Roman"/>
          <w:color w:val="000000"/>
          <w:sz w:val="28"/>
          <w:szCs w:val="28"/>
          <w:highlight w:val="none"/>
          <w:u w:val="single"/>
        </w:rPr>
        <w:t xml:space="preserve">    </w:t>
      </w:r>
      <w:r>
        <w:rPr>
          <w:rFonts w:hint="eastAsia" w:ascii="宋体" w:hAnsi="宋体" w:eastAsia="宋体" w:cs="Times New Roman"/>
          <w:color w:val="000000"/>
          <w:sz w:val="28"/>
          <w:szCs w:val="28"/>
          <w:highlight w:val="none"/>
          <w:u w:val="single"/>
          <w:lang w:val="en-US" w:eastAsia="zh-CN"/>
        </w:rPr>
        <w:t xml:space="preserve">       </w:t>
      </w:r>
      <w:r>
        <w:rPr>
          <w:rFonts w:hint="eastAsia" w:ascii="宋体" w:hAnsi="宋体" w:eastAsia="宋体" w:cs="Times New Roman"/>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r>
      <w:r/>
    </w:p>
    <w:p>
      <w:pPr>
        <w:pStyle w:val="777"/>
        <w:ind w:firstLine="723"/>
        <w:spacing w:line="0" w:lineRule="atLeast"/>
        <w:rPr>
          <w:rFonts w:ascii="宋体" w:hAnsi="宋体"/>
          <w:b/>
          <w:color w:val="000000"/>
          <w:sz w:val="24"/>
          <w:highlight w:val="none"/>
        </w:rPr>
      </w:pPr>
      <w:r>
        <w:rPr>
          <w:rFonts w:ascii="宋体" w:hAnsi="宋体"/>
          <w:b/>
          <w:color w:val="000000"/>
          <w:sz w:val="24"/>
          <w:highlight w:val="none"/>
        </w:rPr>
      </w:r>
      <w:r/>
    </w:p>
    <w:p>
      <w:pPr>
        <w:pStyle w:val="777"/>
        <w:rPr>
          <w:highlight w:val="none"/>
        </w:rPr>
      </w:pPr>
      <w:r>
        <w:rPr>
          <w:highlight w:val="none"/>
        </w:rPr>
      </w:r>
      <w:r/>
    </w:p>
    <w:p>
      <w:pPr>
        <w:pStyle w:val="777"/>
        <w:ind w:firstLine="840"/>
        <w:rPr>
          <w:rFonts w:ascii="宋体" w:hAnsi="宋体"/>
          <w:color w:val="000000"/>
          <w:sz w:val="28"/>
          <w:szCs w:val="28"/>
          <w:highlight w:val="none"/>
        </w:rPr>
      </w:pPr>
      <w:r>
        <w:rPr>
          <w:rFonts w:ascii="宋体" w:hAnsi="宋体"/>
          <w:color w:val="000000"/>
          <w:sz w:val="28"/>
          <w:szCs w:val="28"/>
          <w:highlight w:val="none"/>
        </w:rPr>
      </w:r>
      <w:r/>
    </w:p>
    <w:p>
      <w:pPr>
        <w:pStyle w:val="777"/>
        <w:ind w:firstLine="840"/>
        <w:rPr>
          <w:rFonts w:ascii="宋体" w:hAnsi="宋体"/>
          <w:color w:val="000000"/>
          <w:sz w:val="28"/>
          <w:szCs w:val="28"/>
          <w:highlight w:val="none"/>
        </w:rPr>
      </w:pPr>
      <w:r>
        <w:rPr>
          <w:rFonts w:ascii="宋体" w:hAnsi="宋体"/>
          <w:color w:val="000000"/>
          <w:sz w:val="28"/>
          <w:szCs w:val="28"/>
          <w:highlight w:val="none"/>
        </w:rPr>
      </w:r>
      <w:r/>
    </w:p>
    <w:p>
      <w:pPr>
        <w:pStyle w:val="777"/>
        <w:ind w:firstLine="840"/>
        <w:spacing w:line="360" w:lineRule="auto"/>
        <w:rPr>
          <w:rFonts w:ascii="宋体" w:hAnsi="宋体"/>
          <w:color w:val="000000"/>
          <w:sz w:val="28"/>
          <w:szCs w:val="28"/>
          <w:highlight w:val="none"/>
          <w:u w:val="single"/>
        </w:rPr>
      </w:pPr>
      <w:r>
        <w:rPr>
          <w:rFonts w:hint="eastAsia" w:ascii="宋体" w:hAnsi="宋体"/>
          <w:color w:val="000000"/>
          <w:sz w:val="28"/>
          <w:szCs w:val="28"/>
          <w:highlight w:val="none"/>
        </w:rPr>
        <w:t xml:space="preserve">签订地点：</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江苏常州</w:t>
      </w:r>
      <w:r>
        <w:rPr>
          <w:rFonts w:hint="eastAsia" w:ascii="宋体" w:hAnsi="宋体"/>
          <w:color w:val="000000"/>
          <w:sz w:val="28"/>
          <w:szCs w:val="28"/>
          <w:highlight w:val="none"/>
          <w:u w:val="single"/>
          <w:lang w:val="en-US" w:eastAsia="zh-CN"/>
        </w:rPr>
        <w:t xml:space="preserve">滨江经济开发区</w:t>
      </w:r>
      <w:r>
        <w:rPr>
          <w:rFonts w:ascii="宋体" w:hAnsi="宋体"/>
          <w:color w:val="000000"/>
          <w:sz w:val="28"/>
          <w:szCs w:val="28"/>
          <w:highlight w:val="none"/>
          <w:u w:val="single"/>
        </w:rPr>
        <w:t xml:space="preserve">      </w:t>
      </w:r>
      <w:r>
        <w:rPr>
          <w:rFonts w:ascii="宋体" w:hAnsi="宋体"/>
          <w:color w:val="000000"/>
          <w:sz w:val="28"/>
          <w:szCs w:val="28"/>
          <w:highlight w:val="none"/>
          <w:u w:val="single"/>
        </w:rPr>
      </w:r>
      <w:r/>
    </w:p>
    <w:p>
      <w:pPr>
        <w:pStyle w:val="777"/>
        <w:ind w:firstLine="84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签订日期：</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年</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月  </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日</w:t>
      </w:r>
      <w:r>
        <w:rPr>
          <w:rFonts w:ascii="宋体" w:hAnsi="宋体"/>
          <w:color w:val="000000"/>
          <w:sz w:val="28"/>
          <w:szCs w:val="28"/>
          <w:highlight w:val="none"/>
        </w:rPr>
      </w:r>
      <w:r/>
    </w:p>
    <w:p>
      <w:pPr>
        <w:pStyle w:val="816"/>
        <w:spacing w:line="276" w:lineRule="auto"/>
        <w:rPr>
          <w:rFonts w:eastAsia="宋体" w:cs="宋体"/>
          <w:b/>
          <w:color w:val="000000"/>
          <w:sz w:val="24"/>
          <w:szCs w:val="24"/>
          <w:highlight w:val="none"/>
          <w:lang w:val="zh-CN"/>
        </w:rPr>
      </w:pPr>
      <w:r>
        <w:rPr>
          <w:rFonts w:eastAsia="宋体" w:cs="宋体"/>
          <w:b/>
          <w:color w:val="000000"/>
          <w:sz w:val="24"/>
          <w:szCs w:val="24"/>
          <w:highlight w:val="none"/>
          <w:lang w:val="zh-CN"/>
        </w:rPr>
      </w:r>
      <w:r/>
    </w:p>
    <w:p>
      <w:pPr>
        <w:pStyle w:val="777"/>
        <w:rPr>
          <w:highlight w:val="none"/>
        </w:rPr>
      </w:pPr>
      <w:r>
        <w:rPr>
          <w:highlight w:val="none"/>
        </w:rPr>
      </w:r>
      <w:r/>
    </w:p>
    <w:p>
      <w:pPr>
        <w:pStyle w:val="789"/>
        <w:tabs>
          <w:tab w:val="left" w:pos="567" w:leader="none"/>
        </w:tabs>
        <w:rPr>
          <w:highlight w:val="none"/>
        </w:rPr>
      </w:pPr>
      <w:r>
        <w:rPr>
          <w:highlight w:val="none"/>
        </w:rPr>
      </w:r>
      <w:r/>
    </w:p>
    <w:p>
      <w:pPr>
        <w:pStyle w:val="789"/>
        <w:tabs>
          <w:tab w:val="left" w:pos="567" w:leader="none"/>
        </w:tabs>
        <w:rPr>
          <w:highlight w:val="none"/>
        </w:rPr>
      </w:pPr>
      <w:r>
        <w:rPr>
          <w:highlight w:val="none"/>
        </w:rPr>
      </w:r>
      <w:r/>
    </w:p>
    <w:p>
      <w:pPr>
        <w:pStyle w:val="789"/>
        <w:spacing w:line="360" w:lineRule="auto"/>
        <w:tabs>
          <w:tab w:val="left" w:pos="567" w:leader="none"/>
        </w:tabs>
        <w:rPr>
          <w:rFonts w:hint="eastAsia" w:ascii="宋体" w:hAnsi="宋体"/>
          <w:b/>
          <w:bCs/>
          <w:sz w:val="24"/>
          <w:highlight w:val="none"/>
        </w:rPr>
      </w:pPr>
      <w:r>
        <w:rPr>
          <w:rFonts w:hint="eastAsia" w:ascii="宋体" w:hAnsi="宋体"/>
          <w:b/>
          <w:bCs/>
          <w:sz w:val="24"/>
          <w:highlight w:val="none"/>
        </w:rPr>
      </w:r>
      <w:r/>
    </w:p>
    <w:p>
      <w:pPr>
        <w:pStyle w:val="789"/>
        <w:spacing w:line="360" w:lineRule="auto"/>
        <w:tabs>
          <w:tab w:val="left" w:pos="567" w:leader="none"/>
        </w:tabs>
        <w:rPr>
          <w:rFonts w:ascii="宋体" w:hAnsi="宋体" w:eastAsia="宋体"/>
          <w:b/>
          <w:bCs/>
          <w:sz w:val="24"/>
          <w:highlight w:val="none"/>
          <w:lang w:val="en-US" w:eastAsia="zh-CN"/>
        </w:rPr>
      </w:pPr>
      <w:r>
        <w:rPr>
          <w:rFonts w:hint="eastAsia" w:ascii="宋体" w:hAnsi="宋体"/>
          <w:b/>
          <w:bCs/>
          <w:sz w:val="24"/>
          <w:highlight w:val="none"/>
        </w:rPr>
        <w:t xml:space="preserve">甲方：</w:t>
      </w:r>
      <w:r>
        <w:rPr>
          <w:rFonts w:hint="eastAsia" w:ascii="宋体" w:hAnsi="宋体"/>
          <w:b/>
          <w:bCs/>
          <w:sz w:val="24"/>
          <w:highlight w:val="none"/>
          <w:u w:val="single"/>
          <w:lang w:val="en-US" w:eastAsia="zh-CN"/>
        </w:rPr>
        <w:t xml:space="preserve">江苏常州滨江经济开发区管理委员会</w:t>
      </w:r>
      <w:r>
        <w:rPr>
          <w:rFonts w:ascii="宋体" w:hAnsi="宋体" w:eastAsia="宋体"/>
          <w:b/>
          <w:bCs/>
          <w:sz w:val="24"/>
          <w:highlight w:val="none"/>
          <w:lang w:val="en-US" w:eastAsia="zh-CN"/>
        </w:rPr>
      </w:r>
      <w:r/>
    </w:p>
    <w:p>
      <w:pPr>
        <w:pStyle w:val="789"/>
        <w:spacing w:line="360" w:lineRule="auto"/>
        <w:tabs>
          <w:tab w:val="left" w:pos="567" w:leader="none"/>
        </w:tabs>
        <w:rPr>
          <w:rFonts w:ascii="宋体" w:hAnsi="宋体"/>
          <w:b/>
          <w:bCs/>
          <w:sz w:val="24"/>
          <w:highlight w:val="none"/>
        </w:rPr>
      </w:pPr>
      <w:r>
        <w:rPr>
          <w:rFonts w:hint="eastAsia" w:ascii="宋体" w:hAnsi="宋体"/>
          <w:b/>
          <w:bCs/>
          <w:sz w:val="24"/>
          <w:highlight w:val="none"/>
        </w:rPr>
        <w:t xml:space="preserve">乙方：</w:t>
      </w:r>
      <w:r>
        <w:rPr>
          <w:rFonts w:hint="eastAsia" w:ascii="宋体" w:hAnsi="宋体"/>
          <w:b/>
          <w:bCs/>
          <w:sz w:val="24"/>
          <w:highlight w:val="none"/>
          <w:u w:val="single"/>
        </w:rPr>
        <w:t xml:space="preserve">      </w:t>
      </w:r>
      <w:r>
        <w:rPr>
          <w:rFonts w:hint="eastAsia" w:ascii="宋体" w:hAnsi="宋体"/>
          <w:b/>
          <w:bCs/>
          <w:sz w:val="24"/>
          <w:highlight w:val="none"/>
          <w:u w:val="single"/>
          <w:lang w:val="en-US" w:eastAsia="zh-CN"/>
        </w:rPr>
        <w:t xml:space="preserve">      </w:t>
      </w:r>
      <w:r>
        <w:rPr>
          <w:rFonts w:hint="eastAsia" w:ascii="宋体" w:hAnsi="宋体"/>
          <w:b/>
          <w:bCs/>
          <w:sz w:val="24"/>
          <w:highlight w:val="none"/>
          <w:u w:val="single"/>
        </w:rPr>
        <w:t xml:space="preserve">                    </w:t>
      </w:r>
      <w:r>
        <w:rPr>
          <w:rFonts w:ascii="宋体" w:hAnsi="宋体"/>
          <w:b/>
          <w:bCs/>
          <w:sz w:val="24"/>
          <w:highlight w:val="none"/>
        </w:rPr>
      </w:r>
      <w:r/>
    </w:p>
    <w:p>
      <w:pPr>
        <w:pStyle w:val="777"/>
        <w:ind w:firstLine="480"/>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甲乙双方依据《中华人民共和国</w:t>
      </w:r>
      <w:r>
        <w:rPr>
          <w:rFonts w:hint="eastAsia" w:ascii="宋体" w:hAnsi="宋体" w:cs="宋体"/>
          <w:color w:val="000000"/>
          <w:sz w:val="24"/>
          <w:szCs w:val="24"/>
          <w:highlight w:val="none"/>
          <w:lang w:val="en-US" w:eastAsia="zh-CN"/>
        </w:rPr>
        <w:t xml:space="preserve">民法典</w:t>
      </w:r>
      <w:r>
        <w:rPr>
          <w:rFonts w:hint="eastAsia" w:ascii="宋体" w:hAnsi="宋体" w:cs="宋体"/>
          <w:color w:val="000000"/>
          <w:sz w:val="24"/>
          <w:szCs w:val="24"/>
          <w:highlight w:val="none"/>
          <w:lang w:val="zh-CN"/>
        </w:rPr>
        <w:t xml:space="preserve">》以及有关法律、法规的规定，经协商一致，订立本合同，以便共同遵守。</w:t>
      </w:r>
      <w:r>
        <w:rPr>
          <w:rFonts w:ascii="宋体" w:hAnsi="宋体" w:cs="宋体"/>
          <w:color w:val="000000"/>
          <w:sz w:val="24"/>
          <w:szCs w:val="24"/>
          <w:highlight w:val="none"/>
          <w:lang w:val="zh-CN"/>
        </w:rPr>
      </w:r>
      <w:r/>
    </w:p>
    <w:p>
      <w:pPr>
        <w:pStyle w:val="816"/>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第一条 合同内容</w:t>
      </w:r>
      <w:r>
        <w:rPr>
          <w:rFonts w:eastAsia="宋体" w:cs="宋体"/>
          <w:b/>
          <w:color w:val="000000"/>
          <w:sz w:val="24"/>
          <w:szCs w:val="24"/>
          <w:highlight w:val="none"/>
        </w:rPr>
      </w:r>
      <w:r/>
    </w:p>
    <w:p>
      <w:pPr>
        <w:pStyle w:val="777"/>
        <w:ind w:firstLine="480"/>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乙方根据甲方需求提供下列服务，根据合同规定乙方须承担与服务有关的所有辅助服务：</w:t>
      </w:r>
      <w:r>
        <w:rPr>
          <w:rFonts w:ascii="宋体" w:hAnsi="宋体" w:cs="宋体"/>
          <w:color w:val="000000"/>
          <w:sz w:val="24"/>
          <w:szCs w:val="24"/>
          <w:highlight w:val="none"/>
          <w:lang w:val="zh-CN"/>
        </w:rPr>
      </w:r>
      <w:r/>
    </w:p>
    <w:p>
      <w:pPr>
        <w:pStyle w:val="777"/>
        <w:numPr>
          <w:ilvl w:val="0"/>
          <w:numId w:val="15"/>
        </w:numPr>
        <w:ind w:firstLine="480"/>
        <w:jc w:val="left"/>
        <w:spacing w:line="360" w:lineRule="auto"/>
        <w:widowControl/>
        <w:tabs>
          <w:tab w:val="left" w:pos="312"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zh-CN"/>
        </w:rPr>
        <w:t xml:space="preserve">项目地点：</w:t>
      </w:r>
      <w:r>
        <w:rPr>
          <w:rFonts w:hint="eastAsia" w:ascii="宋体" w:hAnsi="宋体" w:cs="宋体"/>
          <w:color w:val="000000"/>
          <w:sz w:val="24"/>
          <w:szCs w:val="24"/>
          <w:highlight w:val="none"/>
          <w:lang w:val="en-US" w:eastAsia="zh-CN"/>
        </w:rPr>
        <w:t xml:space="preserve">江苏常州滨江经济开发区</w:t>
      </w:r>
      <w:r>
        <w:rPr>
          <w:rFonts w:hint="eastAsia" w:ascii="宋体" w:hAnsi="宋体" w:cs="宋体"/>
          <w:color w:val="000000"/>
          <w:sz w:val="24"/>
          <w:szCs w:val="24"/>
          <w:highlight w:val="none"/>
          <w:lang w:val="en-US" w:eastAsia="zh-CN"/>
        </w:rPr>
      </w:r>
      <w:r/>
    </w:p>
    <w:p>
      <w:pPr>
        <w:pStyle w:val="777"/>
        <w:ind w:firstLine="480"/>
        <w:jc w:val="left"/>
        <w:spacing w:line="36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zh-CN"/>
        </w:rPr>
        <w:t xml:space="preserve">2.项目内容：</w:t>
      </w:r>
      <w:r>
        <w:rPr>
          <w:rFonts w:hint="eastAsia" w:ascii="宋体" w:hAnsi="宋体" w:eastAsia="宋体" w:cs="宋体"/>
          <w:color w:val="000000"/>
          <w:sz w:val="24"/>
          <w:szCs w:val="24"/>
          <w:highlight w:val="none"/>
          <w:lang w:val="en-US" w:eastAsia="zh-CN"/>
        </w:rPr>
        <w:t xml:space="preserve">按委托人要求完成</w:t>
      </w:r>
      <w:r>
        <w:rPr>
          <w:rFonts w:hint="eastAsia" w:ascii="宋体" w:hAnsi="宋体" w:eastAsia="宋体" w:cs="宋体"/>
          <w:color w:val="000000"/>
          <w:sz w:val="24"/>
          <w:szCs w:val="24"/>
          <w:highlight w:val="none"/>
          <w:lang w:val="zh-CN" w:eastAsia="zh-CN"/>
        </w:rPr>
        <w:t xml:space="preserve">2026年</w:t>
      </w:r>
      <w:r>
        <w:rPr>
          <w:rFonts w:hint="eastAsia" w:ascii="宋体" w:hAnsi="宋体" w:eastAsia="宋体" w:cs="宋体"/>
          <w:color w:val="000000"/>
          <w:sz w:val="24"/>
          <w:szCs w:val="24"/>
          <w:highlight w:val="none"/>
          <w:lang w:val="en-US" w:eastAsia="zh-CN"/>
        </w:rPr>
        <w:t xml:space="preserve">滨开区生态环境监测服务中的工作内容包含但不限于大气、水、地下水、土壤及底泥等</w:t>
      </w:r>
      <w:r>
        <w:rPr>
          <w:rFonts w:hint="eastAsia" w:ascii="宋体" w:hAnsi="宋体" w:eastAsia="宋体" w:cs="宋体"/>
          <w:color w:val="000000"/>
          <w:sz w:val="24"/>
          <w:szCs w:val="24"/>
          <w:highlight w:val="none"/>
          <w:lang w:val="zh-CN" w:eastAsia="zh-CN"/>
        </w:rPr>
        <w:t xml:space="preserve">监测服务项目，</w:t>
      </w:r>
      <w:r>
        <w:rPr>
          <w:rFonts w:hint="eastAsia" w:ascii="宋体" w:hAnsi="宋体" w:eastAsia="宋体" w:cs="宋体"/>
          <w:color w:val="000000"/>
          <w:sz w:val="24"/>
          <w:szCs w:val="24"/>
          <w:highlight w:val="none"/>
          <w:lang w:val="en-US" w:eastAsia="zh-CN"/>
        </w:rPr>
        <w:t xml:space="preserve">委托人在合同期内对受托人的服务质量、服务时间保证率、监测能力等进行考核评定</w:t>
      </w: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en-US"/>
        </w:rPr>
      </w:r>
      <w:r/>
    </w:p>
    <w:p>
      <w:pPr>
        <w:pStyle w:val="777"/>
        <w:ind w:firstLine="480"/>
        <w:jc w:val="left"/>
        <w:spacing w:line="360" w:lineRule="auto"/>
        <w:widowControl/>
        <w:rPr>
          <w:rFonts w:ascii="宋体" w:hAnsi="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3.服务内容：按照国家及地方相关规范</w:t>
      </w:r>
      <w:r>
        <w:rPr>
          <w:rFonts w:hint="eastAsia" w:ascii="宋体" w:hAnsi="宋体" w:cs="宋体"/>
          <w:color w:val="000000"/>
          <w:sz w:val="24"/>
          <w:szCs w:val="24"/>
          <w:highlight w:val="none"/>
          <w:lang w:val="zh-CN"/>
        </w:rPr>
        <w:t xml:space="preserve">、规定完成</w:t>
      </w:r>
      <w:r>
        <w:rPr>
          <w:rFonts w:hint="eastAsia" w:ascii="宋体" w:hAnsi="宋体" w:eastAsia="宋体" w:cs="宋体"/>
          <w:color w:val="000000"/>
          <w:sz w:val="24"/>
          <w:szCs w:val="24"/>
          <w:highlight w:val="none"/>
          <w:lang w:val="zh-CN" w:eastAsia="zh-CN"/>
        </w:rPr>
        <w:t xml:space="preserve">2026年</w:t>
      </w:r>
      <w:r>
        <w:rPr>
          <w:rFonts w:hint="eastAsia" w:ascii="宋体" w:hAnsi="宋体" w:eastAsia="宋体" w:cs="宋体"/>
          <w:color w:val="000000"/>
          <w:sz w:val="24"/>
          <w:szCs w:val="24"/>
          <w:highlight w:val="none"/>
          <w:lang w:val="en-US" w:eastAsia="zh-CN"/>
        </w:rPr>
        <w:t xml:space="preserve">滨开区生态环境监测服务中的工作内容包含但不限于</w:t>
      </w:r>
      <w:r>
        <w:rPr>
          <w:rFonts w:hint="eastAsia" w:ascii="宋体" w:hAnsi="宋体" w:cs="宋体"/>
          <w:color w:val="000000"/>
          <w:sz w:val="24"/>
          <w:szCs w:val="24"/>
          <w:highlight w:val="none"/>
          <w:lang w:val="en-US" w:eastAsia="zh-CN"/>
        </w:rPr>
        <w:t xml:space="preserve">大气、水、地下水、土壤及底泥等</w:t>
      </w:r>
      <w:r>
        <w:rPr>
          <w:rFonts w:hint="eastAsia" w:ascii="宋体" w:hAnsi="宋体" w:cs="宋体"/>
          <w:color w:val="000000"/>
          <w:sz w:val="24"/>
          <w:szCs w:val="24"/>
          <w:highlight w:val="none"/>
          <w:lang w:val="zh-CN" w:eastAsia="zh-CN"/>
        </w:rPr>
        <w:t xml:space="preserve">监测服务项目</w:t>
      </w:r>
      <w:r>
        <w:rPr>
          <w:rFonts w:hint="eastAsia" w:ascii="宋体" w:hAnsi="宋体" w:cs="宋体"/>
          <w:color w:val="000000"/>
          <w:sz w:val="24"/>
          <w:szCs w:val="24"/>
          <w:highlight w:val="none"/>
          <w:lang w:val="zh-CN"/>
        </w:rPr>
        <w:t xml:space="preserve">的实施内容并出具报告。各个</w:t>
      </w:r>
      <w:r>
        <w:rPr>
          <w:rFonts w:hint="eastAsia" w:ascii="宋体" w:hAnsi="宋体" w:cs="宋体"/>
          <w:color w:val="000000"/>
          <w:sz w:val="24"/>
          <w:szCs w:val="24"/>
          <w:highlight w:val="none"/>
          <w:lang w:val="en-US" w:eastAsia="zh-CN"/>
        </w:rPr>
        <w:t xml:space="preserve">采购包的服务内容</w:t>
      </w:r>
      <w:r>
        <w:rPr>
          <w:rFonts w:hint="eastAsia" w:ascii="宋体" w:hAnsi="宋体" w:cs="宋体"/>
          <w:color w:val="000000"/>
          <w:sz w:val="24"/>
          <w:szCs w:val="24"/>
          <w:highlight w:val="none"/>
          <w:lang w:val="zh-CN"/>
        </w:rPr>
        <w:t xml:space="preserve">不局限于</w:t>
      </w:r>
      <w:r>
        <w:rPr>
          <w:rFonts w:hint="eastAsia" w:ascii="宋体" w:hAnsi="宋体" w:cs="宋体"/>
          <w:color w:val="000000"/>
          <w:sz w:val="24"/>
          <w:szCs w:val="24"/>
          <w:highlight w:val="none"/>
          <w:lang w:val="en-US" w:eastAsia="zh-CN"/>
        </w:rPr>
        <w:t xml:space="preserve">招标文件项目</w:t>
      </w:r>
      <w:r>
        <w:rPr>
          <w:rFonts w:hint="eastAsia" w:ascii="宋体" w:hAnsi="宋体" w:cs="宋体"/>
          <w:color w:val="000000"/>
          <w:sz w:val="24"/>
          <w:szCs w:val="24"/>
          <w:highlight w:val="none"/>
          <w:lang w:val="zh-CN"/>
        </w:rPr>
        <w:t xml:space="preserve">需求</w:t>
      </w:r>
      <w:r>
        <w:rPr>
          <w:rFonts w:hint="eastAsia" w:ascii="宋体" w:hAnsi="宋体" w:cs="宋体"/>
          <w:color w:val="000000"/>
          <w:sz w:val="24"/>
          <w:szCs w:val="24"/>
          <w:highlight w:val="none"/>
          <w:lang w:val="en-US" w:eastAsia="zh-CN"/>
        </w:rPr>
        <w:t xml:space="preserve">中</w:t>
      </w:r>
      <w:r>
        <w:rPr>
          <w:rFonts w:hint="eastAsia" w:ascii="宋体" w:hAnsi="宋体" w:cs="宋体"/>
          <w:color w:val="000000"/>
          <w:sz w:val="24"/>
          <w:szCs w:val="24"/>
          <w:highlight w:val="none"/>
          <w:lang w:val="zh-CN"/>
        </w:rPr>
        <w:t xml:space="preserve">的内容，一旦有</w:t>
      </w:r>
      <w:r>
        <w:rPr>
          <w:rFonts w:hint="eastAsia" w:ascii="宋体" w:hAnsi="宋体" w:cs="宋体"/>
          <w:color w:val="000000"/>
          <w:sz w:val="24"/>
          <w:szCs w:val="24"/>
          <w:highlight w:val="none"/>
          <w:lang w:val="en-US" w:eastAsia="zh-CN"/>
        </w:rPr>
        <w:t xml:space="preserve">采购包的中标单位无法及时完成甲方的委托</w:t>
      </w:r>
      <w:r>
        <w:rPr>
          <w:rFonts w:hint="eastAsia" w:ascii="宋体" w:hAnsi="宋体" w:cs="宋体"/>
          <w:color w:val="000000"/>
          <w:sz w:val="24"/>
          <w:szCs w:val="24"/>
          <w:highlight w:val="none"/>
          <w:lang w:val="zh-CN"/>
        </w:rPr>
        <w:t xml:space="preserve">，甲方</w:t>
      </w:r>
      <w:r>
        <w:rPr>
          <w:rFonts w:hint="eastAsia" w:ascii="宋体" w:hAnsi="宋体" w:cs="宋体"/>
          <w:color w:val="000000"/>
          <w:sz w:val="24"/>
          <w:szCs w:val="24"/>
          <w:highlight w:val="none"/>
          <w:lang w:val="en-US" w:eastAsia="zh-CN"/>
        </w:rPr>
        <w:t xml:space="preserve">有权进行</w:t>
      </w:r>
      <w:r>
        <w:rPr>
          <w:rFonts w:hint="eastAsia" w:ascii="宋体" w:hAnsi="宋体" w:cs="宋体"/>
          <w:color w:val="000000"/>
          <w:sz w:val="24"/>
          <w:szCs w:val="24"/>
          <w:highlight w:val="none"/>
          <w:lang w:val="zh-CN"/>
        </w:rPr>
        <w:t xml:space="preserve">互补，</w:t>
      </w:r>
      <w:r>
        <w:rPr>
          <w:rFonts w:hint="eastAsia" w:ascii="宋体" w:hAnsi="宋体" w:cs="宋体"/>
          <w:color w:val="000000"/>
          <w:sz w:val="24"/>
          <w:szCs w:val="24"/>
          <w:highlight w:val="none"/>
          <w:lang w:val="en-US" w:eastAsia="zh-CN"/>
        </w:rPr>
        <w:t xml:space="preserve">选择单位</w:t>
      </w:r>
      <w:r>
        <w:rPr>
          <w:rFonts w:hint="eastAsia" w:ascii="宋体" w:hAnsi="宋体" w:cs="宋体"/>
          <w:color w:val="000000"/>
          <w:sz w:val="24"/>
          <w:szCs w:val="24"/>
          <w:highlight w:val="none"/>
          <w:lang w:val="zh-CN"/>
        </w:rPr>
        <w:t xml:space="preserve">完成甲方相应的检测任务需求。</w:t>
      </w:r>
      <w:r>
        <w:rPr>
          <w:rFonts w:ascii="宋体" w:hAnsi="宋体" w:cs="宋体"/>
          <w:color w:val="000000"/>
          <w:sz w:val="24"/>
          <w:szCs w:val="24"/>
          <w:highlight w:val="none"/>
          <w:lang w:val="zh-CN"/>
        </w:rPr>
      </w:r>
      <w:r/>
    </w:p>
    <w:p>
      <w:pPr>
        <w:pStyle w:val="789"/>
        <w:spacing w:line="360" w:lineRule="auto"/>
        <w:tabs>
          <w:tab w:val="left" w:pos="567" w:leader="none"/>
        </w:tabs>
        <w:rPr>
          <w:rFonts w:ascii="宋体" w:hAnsi="宋体" w:cs="宋体"/>
          <w:b/>
          <w:color w:val="000000"/>
          <w:sz w:val="24"/>
          <w:highlight w:val="none"/>
        </w:rPr>
      </w:pPr>
      <w:r>
        <w:rPr>
          <w:sz w:val="24"/>
          <w:highlight w:val="none"/>
          <w:lang w:val="zh-CN"/>
        </w:rPr>
        <w:tab/>
      </w:r>
      <w:r>
        <w:rPr>
          <w:rFonts w:hint="eastAsia" w:ascii="宋体" w:hAnsi="宋体" w:cs="宋体"/>
          <w:b/>
          <w:color w:val="000000"/>
          <w:sz w:val="24"/>
          <w:highlight w:val="none"/>
        </w:rPr>
        <w:t xml:space="preserve">第二条 合同价格</w:t>
      </w:r>
      <w:r>
        <w:rPr>
          <w:rFonts w:ascii="宋体" w:hAnsi="宋体" w:cs="宋体"/>
          <w:b/>
          <w:color w:val="000000"/>
          <w:sz w:val="24"/>
          <w:highlight w:val="none"/>
        </w:rPr>
      </w:r>
      <w:r/>
    </w:p>
    <w:p>
      <w:pPr>
        <w:pStyle w:val="777"/>
        <w:ind w:firstLine="480"/>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本</w:t>
      </w:r>
      <w:r>
        <w:rPr>
          <w:rFonts w:hint="eastAsia" w:ascii="宋体" w:hAnsi="宋体" w:cs="宋体"/>
          <w:color w:val="000000"/>
          <w:sz w:val="24"/>
          <w:szCs w:val="24"/>
          <w:highlight w:val="none"/>
          <w:lang w:val="zh-CN"/>
        </w:rPr>
        <w:t xml:space="preserve">合同</w:t>
      </w:r>
      <w:r>
        <w:rPr>
          <w:rFonts w:hint="eastAsia" w:ascii="宋体" w:hAnsi="宋体" w:cs="宋体"/>
          <w:color w:val="000000"/>
          <w:sz w:val="24"/>
          <w:szCs w:val="24"/>
          <w:highlight w:val="none"/>
          <w:lang w:val="en-US" w:eastAsia="zh-CN"/>
        </w:rPr>
        <w:t xml:space="preserve">签约优惠率为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w:t>
      </w:r>
      <w:r>
        <w:rPr>
          <w:rFonts w:hint="eastAsia" w:ascii="宋体" w:hAnsi="宋体" w:cs="宋体"/>
          <w:color w:val="000000"/>
          <w:sz w:val="24"/>
          <w:szCs w:val="24"/>
          <w:highlight w:val="none"/>
          <w:lang w:val="en-US" w:eastAsia="zh-CN"/>
        </w:rPr>
        <w:t xml:space="preserve">合同估算价约</w:t>
      </w:r>
      <w:r>
        <w:rPr>
          <w:rFonts w:hint="eastAsia" w:ascii="宋体" w:hAnsi="宋体" w:cs="宋体"/>
          <w:color w:val="000000"/>
          <w:sz w:val="24"/>
          <w:szCs w:val="24"/>
          <w:highlight w:val="none"/>
          <w:lang w:val="zh-CN"/>
        </w:rPr>
        <w:t xml:space="preserve">（人民币，下同）：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zh-CN"/>
        </w:rPr>
        <w:t xml:space="preserve">元整（小写：￥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最终结算原则：以环境监测部分：《江苏省环境监测专业服务管理办法》、《江苏省环境监测专业服务收费标准》（苏价费[2006]397号）和《省物价局、省财政厅关于降低收费标准和实施收费减免的通知》（以下简称收费标准）为参照，</w:t>
      </w:r>
      <w:r>
        <w:rPr>
          <w:rFonts w:hint="eastAsia" w:ascii="宋体" w:hAnsi="宋体" w:cs="宋体"/>
          <w:color w:val="000000"/>
          <w:sz w:val="24"/>
          <w:szCs w:val="24"/>
          <w:highlight w:val="none"/>
        </w:rPr>
        <w:t xml:space="preserve">实际结算金额以实际检测内容对照收费标准*（1-优惠率）进行结算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监测数量按委托方指令及确定的数量为准。</w:t>
      </w:r>
      <w:r>
        <w:rPr>
          <w:rFonts w:hint="eastAsia" w:ascii="宋体" w:hAnsi="宋体" w:cs="宋体"/>
          <w:color w:val="000000"/>
          <w:sz w:val="24"/>
          <w:szCs w:val="24"/>
          <w:highlight w:val="none"/>
          <w:lang w:val="en-US" w:eastAsia="zh-CN"/>
        </w:rPr>
      </w:r>
      <w:r/>
    </w:p>
    <w:p>
      <w:pPr>
        <w:pStyle w:val="777"/>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报价已</w:t>
      </w:r>
      <w:r>
        <w:rPr>
          <w:rFonts w:hint="eastAsia" w:ascii="宋体" w:hAnsi="宋体" w:cs="宋体"/>
          <w:color w:val="000000"/>
          <w:sz w:val="24"/>
          <w:szCs w:val="24"/>
          <w:highlight w:val="none"/>
          <w:lang w:val="zh-CN"/>
        </w:rPr>
        <w:t xml:space="preserve">综合考虑完成本项目所需的全部服务成本、企业利润、税金和政策性文件规定及合同包含的所有风险、责任等各项应有费用</w:t>
      </w:r>
      <w:r>
        <w:rPr>
          <w:rFonts w:hint="eastAsia" w:ascii="宋体" w:hAnsi="宋体" w:cs="宋体"/>
          <w:color w:val="000000"/>
          <w:sz w:val="24"/>
          <w:szCs w:val="24"/>
          <w:highlight w:val="none"/>
          <w:lang w:val="zh-CN" w:eastAsia="zh-CN"/>
        </w:rPr>
        <w:t xml:space="preserve">；</w:t>
      </w:r>
      <w:r>
        <w:rPr>
          <w:rFonts w:hint="eastAsia" w:ascii="宋体" w:hAnsi="宋体" w:cs="宋体"/>
          <w:color w:val="000000"/>
          <w:sz w:val="24"/>
          <w:szCs w:val="24"/>
          <w:highlight w:val="none"/>
          <w:lang w:val="en-US" w:eastAsia="zh-CN"/>
        </w:rPr>
        <w:t xml:space="preserve">含</w:t>
      </w:r>
      <w:r>
        <w:rPr>
          <w:rFonts w:hint="eastAsia" w:ascii="宋体" w:hAnsi="宋体" w:cs="宋体"/>
          <w:color w:val="000000"/>
          <w:sz w:val="24"/>
          <w:szCs w:val="24"/>
          <w:highlight w:val="none"/>
          <w:lang w:val="zh-CN" w:eastAsia="zh-CN"/>
        </w:rPr>
        <w:t xml:space="preserve">采样、分析所需相关人工费用（节假日、双休日等综合在内），采样、分析所需车辆运输费用，对场地进行测绘定点和点位复测、标高测量及地质勘探</w:t>
      </w:r>
      <w:r>
        <w:rPr>
          <w:rFonts w:hint="eastAsia" w:ascii="宋体" w:hAnsi="宋体" w:cs="宋体"/>
          <w:color w:val="000000"/>
          <w:sz w:val="24"/>
          <w:szCs w:val="24"/>
          <w:highlight w:val="none"/>
          <w:lang w:val="en-US" w:eastAsia="zh-CN"/>
        </w:rPr>
        <w:t xml:space="preserve">的测点费用，测点、采样机械进出场费用，水样采集井、地下样品采集含相应采样耗材等包括但不限于以上的全部从采样到出报告的全部费用，均含在本次报价中，不再另行计取；</w:t>
      </w:r>
      <w:r>
        <w:rPr>
          <w:rFonts w:hint="eastAsia" w:ascii="宋体" w:hAnsi="宋体" w:cs="宋体"/>
          <w:color w:val="000000"/>
          <w:sz w:val="24"/>
          <w:szCs w:val="24"/>
          <w:highlight w:val="none"/>
          <w:lang w:val="zh-CN" w:eastAsia="zh-CN"/>
        </w:rPr>
        <w:t xml:space="preserve">出具包括但不限于满足委甲方要求，符合相应规范的书面报告；</w:t>
      </w:r>
      <w:r>
        <w:rPr>
          <w:rFonts w:hint="eastAsia" w:ascii="宋体" w:hAnsi="宋体" w:cs="宋体"/>
          <w:color w:val="000000"/>
          <w:sz w:val="24"/>
          <w:szCs w:val="24"/>
          <w:highlight w:val="none"/>
          <w:lang w:val="en-US" w:eastAsia="zh-CN"/>
        </w:rPr>
        <w:t xml:space="preserve">最终按委托方签证及报告中的检测内容结算费用，收费标准中未单列收费的，招标人不另行给予计取费用。</w:t>
      </w:r>
      <w:r>
        <w:rPr>
          <w:rFonts w:ascii="宋体" w:hAnsi="宋体" w:cs="宋体"/>
          <w:color w:val="000000"/>
          <w:sz w:val="24"/>
          <w:szCs w:val="24"/>
          <w:highlight w:val="none"/>
          <w:lang w:val="zh-CN"/>
        </w:rPr>
      </w:r>
      <w:r/>
    </w:p>
    <w:p>
      <w:pPr>
        <w:pStyle w:val="777"/>
        <w:ind w:firstLine="480"/>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本合同总价款还包含乙方应当提供的伴随服务/售后服务费用。</w:t>
      </w:r>
      <w:r>
        <w:rPr>
          <w:rFonts w:ascii="宋体" w:hAnsi="宋体" w:cs="宋体"/>
          <w:color w:val="000000"/>
          <w:sz w:val="24"/>
          <w:szCs w:val="24"/>
          <w:highlight w:val="none"/>
          <w:lang w:val="zh-CN"/>
        </w:rPr>
      </w:r>
      <w:r/>
    </w:p>
    <w:p>
      <w:pPr>
        <w:pStyle w:val="816"/>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第三条 组成本合同的有关文件</w:t>
      </w:r>
      <w:r>
        <w:rPr>
          <w:rFonts w:eastAsia="宋体" w:cs="宋体"/>
          <w:b/>
          <w:color w:val="000000"/>
          <w:sz w:val="24"/>
          <w:szCs w:val="24"/>
          <w:highlight w:val="none"/>
        </w:rPr>
      </w:r>
      <w:r/>
    </w:p>
    <w:p>
      <w:pPr>
        <w:pStyle w:val="816"/>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eastAsia="宋体" w:cs="宋体"/>
          <w:color w:val="000000"/>
          <w:sz w:val="24"/>
          <w:szCs w:val="24"/>
          <w:highlight w:val="none"/>
        </w:rPr>
      </w:r>
      <w:r/>
    </w:p>
    <w:p>
      <w:pPr>
        <w:pStyle w:val="816"/>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cs="宋体"/>
          <w:color w:val="000000"/>
          <w:sz w:val="24"/>
          <w:szCs w:val="24"/>
          <w:highlight w:val="none"/>
        </w:rPr>
        <w:t xml:space="preserve">招标</w:t>
      </w:r>
      <w:r>
        <w:rPr>
          <w:rFonts w:hint="eastAsia" w:eastAsia="宋体" w:cs="宋体"/>
          <w:color w:val="000000"/>
          <w:sz w:val="24"/>
          <w:szCs w:val="24"/>
          <w:highlight w:val="none"/>
        </w:rPr>
        <w:t xml:space="preserve">文件；</w:t>
      </w:r>
      <w:r>
        <w:rPr>
          <w:rFonts w:eastAsia="宋体" w:cs="宋体"/>
          <w:color w:val="000000"/>
          <w:sz w:val="24"/>
          <w:szCs w:val="24"/>
          <w:highlight w:val="none"/>
        </w:rPr>
      </w:r>
      <w:r/>
    </w:p>
    <w:p>
      <w:pPr>
        <w:pStyle w:val="816"/>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（2）乙方提供的投标文件； </w:t>
      </w:r>
      <w:r>
        <w:rPr>
          <w:rFonts w:eastAsia="宋体" w:cs="宋体"/>
          <w:color w:val="000000"/>
          <w:sz w:val="24"/>
          <w:szCs w:val="24"/>
          <w:highlight w:val="none"/>
        </w:rPr>
      </w:r>
      <w:r/>
    </w:p>
    <w:p>
      <w:pPr>
        <w:pStyle w:val="816"/>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t xml:space="preserve">3</w:t>
      </w:r>
      <w:r>
        <w:rPr>
          <w:rFonts w:hint="eastAsia" w:eastAsia="宋体" w:cs="宋体"/>
          <w:color w:val="000000"/>
          <w:sz w:val="24"/>
          <w:szCs w:val="24"/>
          <w:highlight w:val="none"/>
        </w:rPr>
        <w:t xml:space="preserve">）中标通知书；</w:t>
      </w:r>
      <w:r>
        <w:rPr>
          <w:rFonts w:eastAsia="宋体" w:cs="宋体"/>
          <w:color w:val="000000"/>
          <w:sz w:val="24"/>
          <w:szCs w:val="24"/>
          <w:highlight w:val="none"/>
        </w:rPr>
      </w:r>
      <w:r/>
    </w:p>
    <w:p>
      <w:pPr>
        <w:pStyle w:val="816"/>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t xml:space="preserve">4</w:t>
      </w:r>
      <w:r>
        <w:rPr>
          <w:rFonts w:hint="eastAsia" w:eastAsia="宋体" w:cs="宋体"/>
          <w:color w:val="000000"/>
          <w:sz w:val="24"/>
          <w:szCs w:val="24"/>
          <w:highlight w:val="none"/>
        </w:rPr>
        <w:t xml:space="preserve">）甲乙双方商定的其他文件等。</w:t>
      </w:r>
      <w:r>
        <w:rPr>
          <w:rFonts w:eastAsia="宋体" w:cs="宋体"/>
          <w:color w:val="000000"/>
          <w:sz w:val="24"/>
          <w:szCs w:val="24"/>
          <w:highlight w:val="none"/>
        </w:rPr>
      </w:r>
      <w:r/>
    </w:p>
    <w:p>
      <w:pPr>
        <w:pStyle w:val="777"/>
        <w:ind w:firstLine="482"/>
        <w:spacing w:line="360" w:lineRule="auto"/>
        <w:rPr>
          <w:rFonts w:ascii="宋体" w:hAnsi="宋体"/>
          <w:b/>
          <w:sz w:val="24"/>
          <w:szCs w:val="24"/>
          <w:highlight w:val="none"/>
        </w:rPr>
      </w:pPr>
      <w:r>
        <w:rPr>
          <w:rFonts w:hint="eastAsia" w:ascii="宋体" w:hAnsi="宋体"/>
          <w:b/>
          <w:sz w:val="24"/>
          <w:szCs w:val="24"/>
          <w:highlight w:val="none"/>
        </w:rPr>
        <w:t xml:space="preserve">第四条 合同款结算</w:t>
      </w:r>
      <w:r>
        <w:rPr>
          <w:rFonts w:ascii="宋体" w:hAnsi="宋体"/>
          <w:b/>
          <w:sz w:val="24"/>
          <w:szCs w:val="24"/>
          <w:highlight w:val="none"/>
        </w:rPr>
        <w:t xml:space="preserve">及</w:t>
      </w:r>
      <w:r>
        <w:rPr>
          <w:rFonts w:hint="eastAsia" w:ascii="宋体" w:hAnsi="宋体"/>
          <w:b/>
          <w:sz w:val="24"/>
          <w:szCs w:val="24"/>
          <w:highlight w:val="none"/>
        </w:rPr>
        <w:t xml:space="preserve">支付</w:t>
      </w:r>
      <w:r>
        <w:rPr>
          <w:rFonts w:ascii="宋体" w:hAnsi="宋体"/>
          <w:b/>
          <w:sz w:val="24"/>
          <w:szCs w:val="24"/>
          <w:highlight w:val="none"/>
        </w:rPr>
      </w:r>
      <w:r/>
    </w:p>
    <w:p>
      <w:pPr>
        <w:pStyle w:val="777"/>
        <w:ind w:firstLine="480"/>
        <w:spacing w:line="360" w:lineRule="auto"/>
        <w:rPr>
          <w:rFonts w:ascii="宋体" w:hAnsi="宋体"/>
          <w:sz w:val="24"/>
          <w:szCs w:val="24"/>
          <w:highlight w:val="none"/>
        </w:rPr>
      </w:pPr>
      <w:r>
        <w:rPr>
          <w:rFonts w:hint="eastAsia" w:ascii="宋体" w:hAnsi="宋体"/>
          <w:sz w:val="24"/>
          <w:szCs w:val="24"/>
          <w:highlight w:val="none"/>
        </w:rPr>
        <w:t xml:space="preserve">1.本合同项下所有款项均以人民币支付。</w:t>
      </w:r>
      <w:r>
        <w:rPr>
          <w:rFonts w:ascii="宋体" w:hAnsi="宋体"/>
          <w:sz w:val="24"/>
          <w:szCs w:val="24"/>
          <w:highlight w:val="none"/>
        </w:rPr>
      </w:r>
      <w:r/>
    </w:p>
    <w:p>
      <w:pPr>
        <w:pStyle w:val="777"/>
        <w:ind w:firstLine="480"/>
        <w:spacing w:line="360" w:lineRule="auto"/>
        <w:rPr>
          <w:rFonts w:ascii="宋体" w:hAnsi="宋体" w:cs="宋体"/>
          <w:color w:val="000000"/>
          <w:sz w:val="24"/>
          <w:szCs w:val="24"/>
          <w:highlight w:val="none"/>
          <w:lang w:val="zh-CN"/>
        </w:rPr>
      </w:pPr>
      <w:r>
        <w:rPr>
          <w:rFonts w:hint="eastAsia" w:ascii="宋体" w:hAnsi="宋体"/>
          <w:sz w:val="24"/>
          <w:szCs w:val="24"/>
          <w:highlight w:val="none"/>
        </w:rPr>
        <w:t xml:space="preserve">2.本合同项下的采购资金由甲方自行支付，乙方向甲方开具增值税发票（税率为6%）</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r>
      <w:r/>
    </w:p>
    <w:p>
      <w:pPr>
        <w:pStyle w:val="777"/>
        <w:ind w:firstLine="480"/>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w:t>
      </w:r>
      <w:r>
        <w:rPr>
          <w:rFonts w:hint="eastAsia" w:ascii="宋体" w:hAnsi="宋体"/>
          <w:sz w:val="24"/>
          <w:szCs w:val="24"/>
          <w:highlight w:val="none"/>
        </w:rPr>
        <w:t xml:space="preserve">付款方式：</w:t>
      </w:r>
      <w:r>
        <w:rPr>
          <w:rFonts w:hint="eastAsia" w:ascii="宋体" w:hAnsi="宋体"/>
          <w:sz w:val="24"/>
          <w:szCs w:val="24"/>
          <w:highlight w:val="none"/>
          <w:lang w:val="en-US" w:eastAsia="zh-CN"/>
        </w:rPr>
        <w:t xml:space="preserve">本项目为每6个月支付一次进度款，</w:t>
      </w:r>
      <w:r>
        <w:rPr>
          <w:rFonts w:hint="eastAsia" w:ascii="宋体" w:hAnsi="宋体"/>
          <w:sz w:val="24"/>
          <w:szCs w:val="24"/>
          <w:highlight w:val="none"/>
        </w:rPr>
        <w:t xml:space="preserve">乙方</w:t>
      </w:r>
      <w:r>
        <w:rPr>
          <w:rFonts w:hint="eastAsia" w:ascii="宋体" w:hAnsi="宋体"/>
          <w:sz w:val="24"/>
          <w:szCs w:val="24"/>
          <w:highlight w:val="none"/>
          <w:lang w:val="en-US" w:eastAsia="zh-CN"/>
        </w:rPr>
        <w:t xml:space="preserve">将</w:t>
      </w:r>
      <w:r>
        <w:rPr>
          <w:rFonts w:hint="eastAsia" w:ascii="宋体" w:hAnsi="宋体"/>
          <w:sz w:val="24"/>
          <w:szCs w:val="24"/>
          <w:highlight w:val="none"/>
        </w:rPr>
        <w:t xml:space="preserve">现场</w:t>
      </w:r>
      <w:r>
        <w:rPr>
          <w:rFonts w:hint="eastAsia" w:ascii="宋体" w:hAnsi="宋体"/>
          <w:sz w:val="24"/>
          <w:szCs w:val="24"/>
          <w:highlight w:val="none"/>
          <w:lang w:val="en-US" w:eastAsia="zh-CN"/>
        </w:rPr>
        <w:t xml:space="preserve">6个月</w:t>
      </w:r>
      <w:r>
        <w:rPr>
          <w:rFonts w:hint="eastAsia" w:ascii="宋体" w:hAnsi="宋体"/>
          <w:sz w:val="24"/>
          <w:szCs w:val="24"/>
          <w:highlight w:val="none"/>
        </w:rPr>
        <w:t xml:space="preserve">工作</w:t>
      </w:r>
      <w:r>
        <w:rPr>
          <w:rFonts w:hint="eastAsia" w:ascii="宋体" w:hAnsi="宋体"/>
          <w:sz w:val="24"/>
          <w:szCs w:val="24"/>
          <w:highlight w:val="none"/>
          <w:lang w:val="en-US" w:eastAsia="zh-CN"/>
        </w:rPr>
        <w:t xml:space="preserve">量</w:t>
      </w:r>
      <w:r>
        <w:rPr>
          <w:rFonts w:hint="eastAsia" w:ascii="宋体" w:hAnsi="宋体"/>
          <w:sz w:val="24"/>
          <w:szCs w:val="24"/>
          <w:highlight w:val="none"/>
        </w:rPr>
        <w:t xml:space="preserve">完成</w:t>
      </w:r>
      <w:r>
        <w:rPr>
          <w:rFonts w:hint="eastAsia" w:ascii="宋体" w:hAnsi="宋体"/>
          <w:sz w:val="24"/>
          <w:szCs w:val="24"/>
          <w:highlight w:val="none"/>
          <w:lang w:val="en-US" w:eastAsia="zh-CN"/>
        </w:rPr>
        <w:t xml:space="preserve">且验收合格</w:t>
      </w:r>
      <w:r>
        <w:rPr>
          <w:rFonts w:hint="eastAsia" w:ascii="宋体" w:hAnsi="宋体"/>
          <w:sz w:val="24"/>
          <w:szCs w:val="24"/>
          <w:highlight w:val="none"/>
        </w:rPr>
        <w:t xml:space="preserve">并提交报告</w:t>
      </w:r>
      <w:r>
        <w:rPr>
          <w:rFonts w:hint="eastAsia" w:ascii="宋体" w:hAnsi="宋体"/>
          <w:sz w:val="24"/>
          <w:szCs w:val="24"/>
          <w:highlight w:val="none"/>
          <w:lang w:val="en-US" w:eastAsia="zh-CN"/>
        </w:rPr>
        <w:t xml:space="preserve">且经审核后</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根据本合同约定收费标准结算支付该进度款</w:t>
      </w:r>
      <w:r>
        <w:rPr>
          <w:rFonts w:hint="eastAsia" w:ascii="宋体" w:hAnsi="宋体"/>
          <w:sz w:val="24"/>
          <w:szCs w:val="24"/>
          <w:highlight w:val="none"/>
        </w:rPr>
        <w:t xml:space="preserve">。</w:t>
      </w:r>
      <w:r>
        <w:rPr>
          <w:rFonts w:ascii="宋体" w:hAnsi="宋体"/>
          <w:sz w:val="24"/>
          <w:szCs w:val="24"/>
          <w:highlight w:val="none"/>
        </w:rPr>
      </w:r>
      <w:r/>
    </w:p>
    <w:p>
      <w:pPr>
        <w:pStyle w:val="777"/>
        <w:ind w:firstLine="482"/>
        <w:spacing w:line="360" w:lineRule="auto"/>
        <w:rPr>
          <w:rFonts w:ascii="宋体" w:hAnsi="宋体"/>
          <w:b/>
          <w:sz w:val="24"/>
          <w:szCs w:val="24"/>
          <w:highlight w:val="none"/>
        </w:rPr>
      </w:pPr>
      <w:r>
        <w:rPr>
          <w:rFonts w:hint="eastAsia" w:ascii="宋体" w:hAnsi="宋体"/>
          <w:b/>
          <w:sz w:val="24"/>
          <w:szCs w:val="24"/>
          <w:highlight w:val="none"/>
        </w:rPr>
        <w:t xml:space="preserve">第五条 合同履行期限：</w:t>
      </w:r>
      <w:r>
        <w:rPr>
          <w:rFonts w:hint="eastAsia" w:ascii="宋体" w:hAnsi="宋体"/>
          <w:b/>
          <w:sz w:val="24"/>
          <w:szCs w:val="24"/>
          <w:highlight w:val="none"/>
          <w:lang w:val="en-US" w:eastAsia="zh-CN"/>
        </w:rPr>
        <w:t xml:space="preserve">自2026年</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lang w:val="en-US" w:eastAsia="zh-CN"/>
        </w:rPr>
        <w:t xml:space="preserve">月</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lang w:val="en-US" w:eastAsia="zh-CN"/>
        </w:rPr>
        <w:t xml:space="preserve">日至2027年</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lang w:val="en-US" w:eastAsia="zh-CN"/>
        </w:rPr>
        <w:t xml:space="preserve">月</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lang w:val="en-US" w:eastAsia="zh-CN"/>
        </w:rPr>
        <w:t xml:space="preserve">日，服务期为壹年</w:t>
      </w:r>
      <w:r>
        <w:rPr>
          <w:rFonts w:hint="eastAsia" w:ascii="宋体" w:hAnsi="宋体"/>
          <w:b/>
          <w:sz w:val="24"/>
          <w:szCs w:val="24"/>
          <w:highlight w:val="none"/>
        </w:rPr>
        <w:t xml:space="preserve">。</w:t>
      </w:r>
      <w:r>
        <w:rPr>
          <w:rFonts w:ascii="宋体" w:hAnsi="宋体"/>
          <w:b/>
          <w:sz w:val="24"/>
          <w:szCs w:val="24"/>
          <w:highlight w:val="none"/>
        </w:rPr>
      </w:r>
      <w:r/>
    </w:p>
    <w:p>
      <w:pPr>
        <w:pStyle w:val="777"/>
        <w:ind w:firstLine="482"/>
        <w:spacing w:line="360" w:lineRule="auto"/>
        <w:rPr>
          <w:rFonts w:ascii="宋体" w:hAnsi="宋体"/>
          <w:b/>
          <w:sz w:val="24"/>
          <w:szCs w:val="24"/>
          <w:highlight w:val="none"/>
        </w:rPr>
      </w:pPr>
      <w:r>
        <w:rPr>
          <w:rFonts w:hint="eastAsia" w:ascii="宋体" w:hAnsi="宋体"/>
          <w:b/>
          <w:sz w:val="24"/>
          <w:szCs w:val="24"/>
          <w:highlight w:val="none"/>
        </w:rPr>
        <w:t xml:space="preserve">第六条 项目负责人</w:t>
      </w:r>
      <w:r>
        <w:rPr>
          <w:rFonts w:ascii="宋体" w:hAnsi="宋体"/>
          <w:b/>
          <w:sz w:val="24"/>
          <w:szCs w:val="24"/>
          <w:highlight w:val="none"/>
        </w:rPr>
      </w:r>
      <w:r/>
    </w:p>
    <w:p>
      <w:pPr>
        <w:pStyle w:val="777"/>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乙方项目负责人</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 xml:space="preserve">，职称：</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r>
      <w:r/>
    </w:p>
    <w:p>
      <w:pPr>
        <w:pStyle w:val="777"/>
        <w:ind w:firstLine="482"/>
        <w:spacing w:line="360" w:lineRule="auto"/>
        <w:rPr>
          <w:rFonts w:hint="eastAsia" w:ascii="宋体" w:hAnsi="宋体" w:eastAsia="宋体" w:cs="Times New Roman"/>
          <w:sz w:val="24"/>
          <w:szCs w:val="24"/>
          <w:highlight w:val="none"/>
        </w:rPr>
      </w:pPr>
      <w:r>
        <w:rPr>
          <w:rFonts w:hint="eastAsia" w:ascii="宋体" w:hAnsi="宋体" w:eastAsia="宋体" w:cs="Times New Roman"/>
          <w:b/>
          <w:bCs/>
          <w:sz w:val="24"/>
          <w:szCs w:val="24"/>
          <w:highlight w:val="none"/>
        </w:rPr>
        <w:t xml:space="preserve">第七条 违约责任</w:t>
      </w:r>
      <w:r>
        <w:rPr>
          <w:rFonts w:hint="eastAsia" w:ascii="宋体" w:hAnsi="宋体" w:eastAsia="宋体" w:cs="Times New Roman"/>
          <w:sz w:val="24"/>
          <w:szCs w:val="24"/>
          <w:highlight w:val="none"/>
        </w:rPr>
      </w:r>
      <w:r/>
    </w:p>
    <w:p>
      <w:pPr>
        <w:pStyle w:val="77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在服务过程中，因自身原因无法完成监测任务或出具的监测报告经</w:t>
      </w:r>
      <w:r>
        <w:rPr>
          <w:rFonts w:hint="eastAsia" w:ascii="宋体" w:hAnsi="宋体"/>
          <w:sz w:val="24"/>
          <w:szCs w:val="24"/>
          <w:highlight w:val="none"/>
          <w:lang w:eastAsia="zh-CN"/>
        </w:rPr>
        <w:t xml:space="preserve">甲方</w:t>
      </w:r>
      <w:r>
        <w:rPr>
          <w:rFonts w:hint="eastAsia" w:ascii="宋体" w:hAnsi="宋体"/>
          <w:sz w:val="24"/>
          <w:szCs w:val="24"/>
          <w:highlight w:val="none"/>
        </w:rPr>
        <w:t xml:space="preserve">审查不规范、不合法</w:t>
      </w:r>
      <w:r>
        <w:rPr>
          <w:rFonts w:hint="eastAsia" w:ascii="宋体" w:hAnsi="宋体"/>
          <w:sz w:val="24"/>
          <w:szCs w:val="24"/>
          <w:highlight w:val="none"/>
          <w:lang w:val="en-US" w:eastAsia="zh-CN"/>
        </w:rPr>
        <w:t xml:space="preserve">或不符合要求</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不支付当次的服务费用，并从应付给</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的监测费用中扣1000元；如造成相关工作不能继续并造成较大影响的，</w:t>
      </w:r>
      <w:r>
        <w:rPr>
          <w:rFonts w:hint="eastAsia" w:ascii="宋体" w:hAnsi="宋体"/>
          <w:sz w:val="24"/>
          <w:szCs w:val="24"/>
          <w:highlight w:val="none"/>
          <w:lang w:eastAsia="zh-CN"/>
        </w:rPr>
        <w:t xml:space="preserve">甲方</w:t>
      </w:r>
      <w:r>
        <w:rPr>
          <w:rFonts w:hint="eastAsia" w:ascii="宋体" w:hAnsi="宋体"/>
          <w:sz w:val="24"/>
          <w:szCs w:val="24"/>
          <w:highlight w:val="none"/>
        </w:rPr>
        <w:t xml:space="preserve">有权解除合同。</w:t>
      </w:r>
      <w:r>
        <w:rPr>
          <w:rFonts w:hint="eastAsia" w:ascii="宋体" w:hAnsi="宋体"/>
          <w:sz w:val="24"/>
          <w:szCs w:val="24"/>
          <w:highlight w:val="none"/>
        </w:rPr>
      </w:r>
      <w:r/>
    </w:p>
    <w:p>
      <w:pPr>
        <w:pStyle w:val="77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未能在监测协议书要求的时间内提交监测报告及相关材料</w:t>
      </w:r>
      <w:r>
        <w:rPr>
          <w:rFonts w:hint="eastAsia" w:ascii="宋体" w:hAnsi="宋体"/>
          <w:sz w:val="24"/>
          <w:szCs w:val="24"/>
          <w:highlight w:val="none"/>
          <w:lang w:val="en-US" w:eastAsia="zh-CN"/>
        </w:rPr>
        <w:t xml:space="preserve">或完成要求工作的</w:t>
      </w:r>
      <w:r>
        <w:rPr>
          <w:rFonts w:hint="eastAsia" w:ascii="宋体" w:hAnsi="宋体"/>
          <w:sz w:val="24"/>
          <w:szCs w:val="24"/>
          <w:highlight w:val="none"/>
        </w:rPr>
        <w:t xml:space="preserve">，每次从应付给</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的监测费用中扣500元；发生两次及以上的，</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有权解除合同。</w:t>
      </w:r>
      <w:r>
        <w:rPr>
          <w:rFonts w:hint="eastAsia" w:ascii="宋体" w:hAnsi="宋体"/>
          <w:sz w:val="24"/>
          <w:szCs w:val="24"/>
          <w:highlight w:val="none"/>
        </w:rPr>
      </w:r>
      <w:r/>
    </w:p>
    <w:p>
      <w:pPr>
        <w:pStyle w:val="77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未在规定时间内响应监测任务，每次从应付给</w:t>
      </w:r>
      <w:r>
        <w:rPr>
          <w:rFonts w:hint="eastAsia" w:ascii="宋体" w:hAnsi="宋体"/>
          <w:sz w:val="24"/>
          <w:szCs w:val="24"/>
          <w:highlight w:val="none"/>
          <w:lang w:eastAsia="zh-CN"/>
        </w:rPr>
        <w:t xml:space="preserve">乙方</w:t>
      </w:r>
      <w:r>
        <w:rPr>
          <w:rFonts w:hint="eastAsia" w:ascii="宋体" w:hAnsi="宋体"/>
          <w:sz w:val="24"/>
          <w:szCs w:val="24"/>
          <w:highlight w:val="none"/>
        </w:rPr>
        <w:t xml:space="preserve">的监测费用中扣500元，发生四次及以上的，</w:t>
      </w:r>
      <w:r>
        <w:rPr>
          <w:rFonts w:hint="eastAsia" w:ascii="宋体" w:hAnsi="宋体"/>
          <w:sz w:val="24"/>
          <w:szCs w:val="24"/>
          <w:highlight w:val="none"/>
          <w:lang w:eastAsia="zh-CN"/>
        </w:rPr>
        <w:t xml:space="preserve">甲方</w:t>
      </w:r>
      <w:r>
        <w:rPr>
          <w:rFonts w:hint="eastAsia" w:ascii="宋体" w:hAnsi="宋体"/>
          <w:sz w:val="24"/>
          <w:szCs w:val="24"/>
          <w:highlight w:val="none"/>
        </w:rPr>
        <w:t xml:space="preserve">有权解除合同。</w:t>
      </w:r>
      <w:r>
        <w:rPr>
          <w:rFonts w:hint="eastAsia" w:ascii="宋体" w:hAnsi="宋体"/>
          <w:sz w:val="24"/>
          <w:szCs w:val="24"/>
          <w:highlight w:val="none"/>
        </w:rPr>
      </w:r>
      <w:r/>
    </w:p>
    <w:p>
      <w:pPr>
        <w:pStyle w:val="777"/>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.乙方未按本合同的规定和“服务承诺”提供伴随服务的，甲方有权提前解除本合同，同时乙方应按合同总价款的5 %向甲方承担违约责任。</w:t>
      </w:r>
      <w:r>
        <w:rPr>
          <w:rFonts w:hint="eastAsia" w:ascii="宋体" w:hAnsi="宋体"/>
          <w:sz w:val="24"/>
          <w:szCs w:val="24"/>
          <w:highlight w:val="none"/>
        </w:rPr>
      </w:r>
      <w:r/>
    </w:p>
    <w:p>
      <w:pPr>
        <w:pStyle w:val="777"/>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sz w:val="24"/>
          <w:szCs w:val="24"/>
          <w:highlight w:val="none"/>
        </w:rPr>
      </w:r>
      <w:r/>
    </w:p>
    <w:p>
      <w:pPr>
        <w:pStyle w:val="777"/>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.乙方投标属虚假承诺，或是由于乙方的过错造成合同无法继续履行的，除已支付的服务费必须退还外，还应向甲方支付不少于合同总价30%违约金，若该违约金不足以弥补甲方损失，则应当赔偿甲方所有损失。</w:t>
      </w:r>
      <w:r>
        <w:rPr>
          <w:rFonts w:hint="eastAsia" w:ascii="宋体" w:hAnsi="宋体"/>
          <w:sz w:val="24"/>
          <w:szCs w:val="24"/>
          <w:highlight w:val="none"/>
        </w:rPr>
      </w:r>
      <w:r/>
    </w:p>
    <w:p>
      <w:pPr>
        <w:pStyle w:val="777"/>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.其他未尽事宜，以《民法典》等有关法律法规规定为准，无相关规定的，双方协商解决。</w:t>
      </w:r>
      <w:r>
        <w:rPr>
          <w:rFonts w:hint="eastAsia" w:ascii="宋体" w:hAnsi="宋体"/>
          <w:sz w:val="24"/>
          <w:szCs w:val="24"/>
          <w:highlight w:val="none"/>
        </w:rPr>
      </w:r>
      <w:r/>
    </w:p>
    <w:p>
      <w:pPr>
        <w:pStyle w:val="777"/>
        <w:ind w:firstLine="482"/>
        <w:spacing w:line="360" w:lineRule="auto"/>
        <w:rPr>
          <w:rFonts w:ascii="宋体" w:hAnsi="宋体"/>
          <w:b/>
          <w:sz w:val="24"/>
          <w:szCs w:val="24"/>
          <w:highlight w:val="none"/>
        </w:rPr>
      </w:pPr>
      <w:r>
        <w:rPr>
          <w:rFonts w:hint="eastAsia" w:ascii="宋体" w:hAnsi="宋体"/>
          <w:b/>
          <w:sz w:val="24"/>
          <w:szCs w:val="24"/>
          <w:highlight w:val="none"/>
        </w:rPr>
        <w:t xml:space="preserve">第八条 合同的变更和终止</w:t>
      </w:r>
      <w:r>
        <w:rPr>
          <w:rFonts w:ascii="宋体" w:hAnsi="宋体"/>
          <w:b/>
          <w:sz w:val="24"/>
          <w:szCs w:val="24"/>
          <w:highlight w:val="none"/>
        </w:rPr>
      </w:r>
      <w:r/>
    </w:p>
    <w:p>
      <w:pPr>
        <w:pStyle w:val="777"/>
        <w:ind w:firstLine="480"/>
        <w:spacing w:line="360" w:lineRule="auto"/>
        <w:rPr>
          <w:rFonts w:ascii="宋体" w:hAnsi="宋体"/>
          <w:sz w:val="24"/>
          <w:szCs w:val="24"/>
          <w:highlight w:val="none"/>
        </w:rPr>
      </w:pPr>
      <w:r>
        <w:rPr>
          <w:rFonts w:hint="eastAsia" w:ascii="宋体" w:hAnsi="宋体"/>
          <w:sz w:val="24"/>
          <w:szCs w:val="24"/>
          <w:highlight w:val="none"/>
        </w:rPr>
        <w:t xml:space="preserve">1.本合同一经签订，甲乙双方不得擅自变更、中止或终止合同。</w:t>
      </w:r>
      <w:r>
        <w:rPr>
          <w:rFonts w:ascii="宋体" w:hAnsi="宋体"/>
          <w:sz w:val="24"/>
          <w:szCs w:val="24"/>
          <w:highlight w:val="none"/>
        </w:rPr>
      </w:r>
      <w:r/>
    </w:p>
    <w:p>
      <w:pPr>
        <w:pStyle w:val="777"/>
        <w:ind w:firstLine="480"/>
        <w:spacing w:line="360" w:lineRule="auto"/>
        <w:rPr>
          <w:rFonts w:ascii="宋体" w:hAnsi="宋体"/>
          <w:sz w:val="24"/>
          <w:szCs w:val="24"/>
          <w:highlight w:val="none"/>
        </w:rPr>
      </w:pPr>
      <w:r>
        <w:rPr>
          <w:rFonts w:hint="eastAsia" w:ascii="宋体" w:hAnsi="宋体"/>
          <w:sz w:val="24"/>
          <w:szCs w:val="24"/>
          <w:highlight w:val="none"/>
        </w:rPr>
        <w:t xml:space="preserve">2.除发生法律规定的不能预见、不能避免并不能克服的客观情况外，甲乙双方不得放弃或拒绝履行合同。乙方放弃或拒绝履行合同，保证金不予退还。</w:t>
      </w:r>
      <w:r>
        <w:rPr>
          <w:rFonts w:ascii="宋体" w:hAnsi="宋体"/>
          <w:sz w:val="24"/>
          <w:szCs w:val="24"/>
          <w:highlight w:val="none"/>
        </w:rPr>
      </w:r>
      <w:r/>
    </w:p>
    <w:p>
      <w:pPr>
        <w:pStyle w:val="777"/>
        <w:ind w:firstLine="482"/>
        <w:spacing w:line="360" w:lineRule="auto"/>
        <w:rPr>
          <w:rFonts w:ascii="宋体" w:hAnsi="宋体"/>
          <w:b/>
          <w:sz w:val="24"/>
          <w:szCs w:val="24"/>
          <w:highlight w:val="none"/>
        </w:rPr>
      </w:pPr>
      <w:r>
        <w:rPr>
          <w:rFonts w:hint="eastAsia" w:ascii="宋体" w:hAnsi="宋体"/>
          <w:b/>
          <w:sz w:val="24"/>
          <w:szCs w:val="24"/>
          <w:highlight w:val="none"/>
        </w:rPr>
        <w:t xml:space="preserve">第九条 合同的转让</w:t>
      </w:r>
      <w:r>
        <w:rPr>
          <w:rFonts w:ascii="宋体" w:hAnsi="宋体"/>
          <w:b/>
          <w:sz w:val="24"/>
          <w:szCs w:val="24"/>
          <w:highlight w:val="none"/>
        </w:rPr>
      </w:r>
      <w:r/>
    </w:p>
    <w:p>
      <w:pPr>
        <w:pStyle w:val="777"/>
        <w:ind w:firstLine="480"/>
        <w:spacing w:line="360" w:lineRule="auto"/>
        <w:rPr>
          <w:rFonts w:ascii="宋体" w:hAnsi="宋体"/>
          <w:sz w:val="24"/>
          <w:szCs w:val="24"/>
          <w:highlight w:val="none"/>
        </w:rPr>
      </w:pPr>
      <w:r>
        <w:rPr>
          <w:rFonts w:hint="eastAsia" w:ascii="宋体" w:hAnsi="宋体"/>
          <w:sz w:val="24"/>
          <w:szCs w:val="24"/>
          <w:highlight w:val="none"/>
        </w:rPr>
        <w:t xml:space="preserve">乙方不得擅自部分或全部转让其应履行的合同义务。</w:t>
      </w:r>
      <w:r>
        <w:rPr>
          <w:rFonts w:ascii="宋体" w:hAnsi="宋体"/>
          <w:sz w:val="24"/>
          <w:szCs w:val="24"/>
          <w:highlight w:val="none"/>
        </w:rPr>
      </w:r>
      <w:r/>
    </w:p>
    <w:p>
      <w:pPr>
        <w:pStyle w:val="777"/>
        <w:ind w:firstLine="482"/>
        <w:spacing w:line="360" w:lineRule="auto"/>
        <w:rPr>
          <w:rFonts w:ascii="宋体" w:hAnsi="宋体"/>
          <w:b/>
          <w:sz w:val="24"/>
          <w:szCs w:val="24"/>
          <w:highlight w:val="none"/>
        </w:rPr>
      </w:pPr>
      <w:r>
        <w:rPr>
          <w:rFonts w:hint="eastAsia" w:ascii="宋体" w:hAnsi="宋体"/>
          <w:b/>
          <w:sz w:val="24"/>
          <w:szCs w:val="24"/>
          <w:highlight w:val="none"/>
        </w:rPr>
        <w:t xml:space="preserve">第十条 不可抗力</w:t>
      </w:r>
      <w:r>
        <w:rPr>
          <w:rFonts w:ascii="宋体" w:hAnsi="宋体"/>
          <w:b/>
          <w:sz w:val="24"/>
          <w:szCs w:val="24"/>
          <w:highlight w:val="none"/>
        </w:rPr>
      </w:r>
      <w:r/>
    </w:p>
    <w:p>
      <w:pPr>
        <w:pStyle w:val="777"/>
        <w:ind w:firstLine="480"/>
        <w:spacing w:line="360" w:lineRule="auto"/>
        <w:rPr>
          <w:rFonts w:ascii="宋体" w:hAnsi="宋体"/>
          <w:sz w:val="24"/>
          <w:szCs w:val="24"/>
          <w:highlight w:val="none"/>
        </w:rPr>
      </w:pPr>
      <w:r>
        <w:rPr>
          <w:rFonts w:hint="eastAsia" w:ascii="宋体" w:hAnsi="宋体"/>
          <w:sz w:val="24"/>
          <w:szCs w:val="24"/>
          <w:highlight w:val="none"/>
        </w:rPr>
        <w:t xml:space="preserve">甲、乙方中任何一方，因不可抗力不能按时或完全履行合同的，应及时通知对方，并在</w:t>
      </w:r>
      <w:r>
        <w:rPr>
          <w:rFonts w:hint="eastAsia" w:ascii="宋体" w:hAnsi="宋体"/>
          <w:sz w:val="24"/>
          <w:szCs w:val="24"/>
          <w:highlight w:val="none"/>
          <w:u w:val="single"/>
        </w:rPr>
        <w:t xml:space="preserve"> 3</w:t>
      </w:r>
      <w:r>
        <w:rPr>
          <w:rFonts w:ascii="宋体" w:hAnsi="宋体"/>
          <w:sz w:val="24"/>
          <w:szCs w:val="24"/>
          <w:highlight w:val="none"/>
          <w:u w:val="single"/>
        </w:rPr>
        <w:t xml:space="preserve"> </w:t>
      </w:r>
      <w:r>
        <w:rPr>
          <w:rFonts w:hint="eastAsia" w:ascii="宋体" w:hAnsi="宋体"/>
          <w:sz w:val="24"/>
          <w:szCs w:val="24"/>
          <w:highlight w:val="none"/>
          <w:u w:val="single"/>
        </w:rPr>
        <w:t xml:space="preserve">个</w:t>
      </w:r>
      <w:r>
        <w:rPr>
          <w:rFonts w:hint="eastAsia" w:ascii="宋体" w:hAnsi="宋体"/>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sz w:val="24"/>
          <w:szCs w:val="24"/>
          <w:highlight w:val="none"/>
        </w:rPr>
      </w:r>
      <w:r/>
    </w:p>
    <w:p>
      <w:pPr>
        <w:pStyle w:val="777"/>
        <w:ind w:firstLine="482"/>
        <w:spacing w:line="360" w:lineRule="auto"/>
        <w:rPr>
          <w:rFonts w:ascii="宋体" w:hAnsi="宋体"/>
          <w:b/>
          <w:sz w:val="24"/>
          <w:szCs w:val="24"/>
          <w:highlight w:val="none"/>
        </w:rPr>
      </w:pPr>
      <w:r>
        <w:rPr>
          <w:rFonts w:hint="eastAsia" w:ascii="宋体" w:hAnsi="宋体"/>
          <w:b/>
          <w:sz w:val="24"/>
          <w:szCs w:val="24"/>
          <w:highlight w:val="none"/>
        </w:rPr>
        <w:t xml:space="preserve">第十一条 争议的解决</w:t>
      </w:r>
      <w:r>
        <w:rPr>
          <w:rFonts w:ascii="宋体" w:hAnsi="宋体"/>
          <w:b/>
          <w:sz w:val="24"/>
          <w:szCs w:val="24"/>
          <w:highlight w:val="none"/>
        </w:rPr>
      </w:r>
      <w:r/>
    </w:p>
    <w:p>
      <w:pPr>
        <w:pStyle w:val="777"/>
        <w:ind w:firstLine="480"/>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.因履行本合同引起的或与本合同有关的争议，甲、乙双方应首先通过友好协商解决，如果协商不能解决争议，则采取以下第（ ）种方式解决争议：</w:t>
      </w:r>
      <w:r>
        <w:rPr>
          <w:rFonts w:ascii="宋体" w:hAnsi="宋体"/>
          <w:sz w:val="24"/>
          <w:szCs w:val="24"/>
          <w:highlight w:val="none"/>
        </w:rPr>
      </w:r>
      <w:r/>
    </w:p>
    <w:p>
      <w:pPr>
        <w:pStyle w:val="777"/>
        <w:ind w:firstLine="480"/>
        <w:spacing w:line="360" w:lineRule="auto"/>
        <w:rPr>
          <w:rFonts w:ascii="宋体" w:hAnsi="宋体"/>
          <w:sz w:val="24"/>
          <w:szCs w:val="24"/>
          <w:highlight w:val="none"/>
        </w:rPr>
      </w:pPr>
      <w:r>
        <w:rPr>
          <w:rFonts w:hint="eastAsia" w:ascii="宋体" w:hAnsi="宋体"/>
          <w:sz w:val="24"/>
          <w:szCs w:val="24"/>
          <w:highlight w:val="none"/>
        </w:rPr>
        <w:t xml:space="preserve">（1）向甲方所在地人民法院提起诉讼；</w:t>
      </w:r>
      <w:r>
        <w:rPr>
          <w:rFonts w:ascii="宋体" w:hAnsi="宋体"/>
          <w:sz w:val="24"/>
          <w:szCs w:val="24"/>
          <w:highlight w:val="none"/>
        </w:rPr>
      </w:r>
      <w:r/>
    </w:p>
    <w:p>
      <w:pPr>
        <w:pStyle w:val="777"/>
        <w:ind w:firstLine="480"/>
        <w:spacing w:line="360" w:lineRule="auto"/>
        <w:rPr>
          <w:rFonts w:ascii="宋体" w:hAnsi="宋体"/>
          <w:sz w:val="24"/>
          <w:szCs w:val="24"/>
          <w:highlight w:val="none"/>
        </w:rPr>
      </w:pPr>
      <w:r>
        <w:rPr>
          <w:rFonts w:hint="eastAsia" w:ascii="宋体" w:hAnsi="宋体"/>
          <w:sz w:val="24"/>
          <w:szCs w:val="24"/>
          <w:highlight w:val="none"/>
        </w:rPr>
        <w:t xml:space="preserve">（2）向</w:t>
      </w:r>
      <w:r>
        <w:rPr>
          <w:rFonts w:hint="eastAsia" w:ascii="宋体" w:hAnsi="宋体"/>
          <w:sz w:val="24"/>
          <w:szCs w:val="24"/>
          <w:highlight w:val="none"/>
          <w:lang w:val="en-US" w:eastAsia="zh-CN"/>
        </w:rPr>
        <w:t xml:space="preserve">常州</w:t>
      </w:r>
      <w:r>
        <w:rPr>
          <w:rFonts w:hint="eastAsia" w:ascii="宋体" w:hAnsi="宋体"/>
          <w:sz w:val="24"/>
          <w:szCs w:val="24"/>
          <w:highlight w:val="none"/>
        </w:rPr>
        <w:t xml:space="preserve">仲裁委员会按其仲裁规则申请仲裁。</w:t>
      </w:r>
      <w:r>
        <w:rPr>
          <w:rFonts w:ascii="宋体" w:hAnsi="宋体"/>
          <w:sz w:val="24"/>
          <w:szCs w:val="24"/>
          <w:highlight w:val="none"/>
        </w:rPr>
      </w:r>
      <w:r/>
    </w:p>
    <w:p>
      <w:pPr>
        <w:pStyle w:val="777"/>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如没有约定，默认采取第2种方式解决争议。</w:t>
      </w:r>
      <w:r>
        <w:rPr>
          <w:rFonts w:hint="eastAsia" w:ascii="宋体" w:hAnsi="宋体" w:eastAsia="宋体" w:cs="Times New Roman"/>
          <w:sz w:val="24"/>
          <w:szCs w:val="24"/>
          <w:highlight w:val="none"/>
        </w:rPr>
      </w:r>
      <w:r/>
    </w:p>
    <w:p>
      <w:pPr>
        <w:pStyle w:val="777"/>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2.在法院审理和仲裁期间，除有争议部分外，本合同其他部分应继续履行。</w:t>
      </w:r>
      <w:r>
        <w:rPr>
          <w:rFonts w:hint="eastAsia" w:ascii="宋体" w:hAnsi="宋体" w:eastAsia="宋体" w:cs="Times New Roman"/>
          <w:sz w:val="24"/>
          <w:szCs w:val="24"/>
          <w:highlight w:val="none"/>
        </w:rPr>
      </w:r>
      <w:r/>
    </w:p>
    <w:p>
      <w:pPr>
        <w:pStyle w:val="777"/>
        <w:ind w:firstLine="480"/>
        <w:spacing w:line="360" w:lineRule="auto"/>
        <w:rPr>
          <w:rFonts w:hint="eastAsia" w:ascii="宋体" w:hAnsi="宋体" w:eastAsia="宋体" w:cs="Times New Roman"/>
          <w:highlight w:val="none"/>
          <w:lang w:val="en-US" w:eastAsia="zh-CN"/>
        </w:rPr>
      </w:pPr>
      <w:r>
        <w:rPr>
          <w:rFonts w:hint="eastAsia" w:ascii="宋体" w:hAnsi="宋体" w:eastAsia="宋体" w:cs="Times New Roman"/>
          <w:sz w:val="24"/>
          <w:szCs w:val="24"/>
          <w:highlight w:val="none"/>
          <w:lang w:val="en-US" w:eastAsia="zh-CN"/>
        </w:rPr>
        <w:t xml:space="preserve">3.守约方为解决争议所产生的各项费用（包括但不限于诉讼费、仲裁费、公证费、律师费、鉴定费、差旅费、保全费、保全担保费等）均由违约方承担。</w:t>
      </w:r>
      <w:r>
        <w:rPr>
          <w:rFonts w:hint="eastAsia" w:ascii="宋体" w:hAnsi="宋体" w:eastAsia="宋体" w:cs="Times New Roman"/>
          <w:highlight w:val="none"/>
          <w:lang w:val="en-US" w:eastAsia="zh-CN"/>
        </w:rPr>
      </w:r>
      <w:r/>
    </w:p>
    <w:p>
      <w:pPr>
        <w:pStyle w:val="777"/>
        <w:ind w:firstLine="482"/>
        <w:spacing w:line="360" w:lineRule="auto"/>
        <w:rPr>
          <w:rFonts w:ascii="宋体" w:hAnsi="宋体"/>
          <w:b/>
          <w:sz w:val="24"/>
          <w:szCs w:val="24"/>
          <w:highlight w:val="none"/>
        </w:rPr>
      </w:pPr>
      <w:r>
        <w:rPr>
          <w:rFonts w:hint="eastAsia" w:ascii="宋体" w:hAnsi="宋体"/>
          <w:b/>
          <w:sz w:val="24"/>
          <w:szCs w:val="24"/>
          <w:highlight w:val="none"/>
        </w:rPr>
        <w:t xml:space="preserve">第十一条 诚实信用 </w:t>
      </w:r>
      <w:r>
        <w:rPr>
          <w:rFonts w:ascii="宋体" w:hAnsi="宋体"/>
          <w:b/>
          <w:sz w:val="24"/>
          <w:szCs w:val="24"/>
          <w:highlight w:val="none"/>
        </w:rPr>
      </w:r>
      <w:r/>
    </w:p>
    <w:p>
      <w:pPr>
        <w:pStyle w:val="777"/>
        <w:ind w:firstLine="480"/>
        <w:spacing w:line="360" w:lineRule="auto"/>
        <w:rPr>
          <w:rFonts w:ascii="宋体" w:hAnsi="宋体"/>
          <w:sz w:val="24"/>
          <w:szCs w:val="24"/>
          <w:highlight w:val="none"/>
        </w:rPr>
      </w:pPr>
      <w:r>
        <w:rPr>
          <w:rFonts w:hint="eastAsia" w:ascii="宋体" w:hAnsi="宋体"/>
          <w:sz w:val="24"/>
          <w:szCs w:val="24"/>
          <w:highlight w:val="none"/>
        </w:rPr>
        <w:t xml:space="preserve">乙方应诚实信用，严格按照招标文件要求和投标承诺履行合同，不向甲方进行商业贿赂或者提供不正当利益。</w:t>
      </w:r>
      <w:r>
        <w:rPr>
          <w:rFonts w:ascii="宋体" w:hAnsi="宋体"/>
          <w:sz w:val="24"/>
          <w:szCs w:val="24"/>
          <w:highlight w:val="none"/>
        </w:rPr>
      </w:r>
      <w:r/>
    </w:p>
    <w:p>
      <w:pPr>
        <w:pStyle w:val="777"/>
        <w:ind w:firstLine="482"/>
        <w:spacing w:line="360" w:lineRule="auto"/>
        <w:rPr>
          <w:rFonts w:ascii="宋体" w:hAnsi="宋体"/>
          <w:b/>
          <w:sz w:val="24"/>
          <w:szCs w:val="24"/>
          <w:highlight w:val="none"/>
        </w:rPr>
      </w:pPr>
      <w:r>
        <w:rPr>
          <w:rFonts w:hint="eastAsia" w:ascii="宋体" w:hAnsi="宋体"/>
          <w:b/>
          <w:sz w:val="24"/>
          <w:szCs w:val="24"/>
          <w:highlight w:val="none"/>
        </w:rPr>
        <w:t xml:space="preserve">第十二条 合同生效及其他</w:t>
      </w:r>
      <w:r>
        <w:rPr>
          <w:rFonts w:ascii="宋体" w:hAnsi="宋体"/>
          <w:b/>
          <w:sz w:val="24"/>
          <w:szCs w:val="24"/>
          <w:highlight w:val="none"/>
        </w:rPr>
      </w:r>
      <w:r/>
    </w:p>
    <w:p>
      <w:pPr>
        <w:pStyle w:val="875"/>
        <w:numPr>
          <w:ilvl w:val="0"/>
          <w:numId w:val="0"/>
        </w:numPr>
        <w:ind w:left="480" w:firstLine="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本合同自经甲乙双方授权代表签</w:t>
      </w:r>
      <w:r>
        <w:rPr>
          <w:rFonts w:hint="eastAsia" w:ascii="宋体" w:hAnsi="宋体"/>
          <w:sz w:val="24"/>
          <w:szCs w:val="24"/>
          <w:highlight w:val="none"/>
          <w:lang w:val="en-US" w:eastAsia="zh-CN"/>
        </w:rPr>
        <w:t xml:space="preserve">字</w:t>
      </w:r>
      <w:r>
        <w:rPr>
          <w:rFonts w:hint="eastAsia" w:ascii="宋体" w:hAnsi="宋体"/>
          <w:sz w:val="24"/>
          <w:szCs w:val="24"/>
          <w:highlight w:val="none"/>
        </w:rPr>
        <w:t xml:space="preserve">并加盖公章后，自签订之日起生效。</w:t>
      </w:r>
      <w:r>
        <w:rPr>
          <w:rFonts w:ascii="宋体" w:hAnsi="宋体"/>
          <w:sz w:val="24"/>
          <w:szCs w:val="24"/>
          <w:highlight w:val="none"/>
        </w:rPr>
      </w:r>
      <w:r/>
    </w:p>
    <w:p>
      <w:pPr>
        <w:pStyle w:val="777"/>
        <w:ind w:firstLine="480"/>
        <w:spacing w:line="360" w:lineRule="auto"/>
        <w:rPr>
          <w:rFonts w:ascii="宋体" w:hAnsi="宋体"/>
          <w:sz w:val="24"/>
          <w:szCs w:val="24"/>
          <w:highlight w:val="none"/>
        </w:rPr>
      </w:pPr>
      <w:r>
        <w:rPr>
          <w:rFonts w:hint="eastAsia" w:ascii="宋体" w:hAnsi="宋体"/>
          <w:sz w:val="24"/>
          <w:szCs w:val="24"/>
          <w:highlight w:val="none"/>
        </w:rPr>
        <w:t xml:space="preserve">2.本合同一式伍份，甲乙双方各执贰份，代理机构执壹份存档。</w:t>
      </w:r>
      <w:r>
        <w:rPr>
          <w:rFonts w:ascii="宋体" w:hAnsi="宋体"/>
          <w:sz w:val="24"/>
          <w:szCs w:val="24"/>
          <w:highlight w:val="none"/>
        </w:rPr>
      </w:r>
      <w:r/>
    </w:p>
    <w:p>
      <w:pPr>
        <w:pStyle w:val="77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3.本合同应按照中华人民共和国的现行法律进行解释。</w:t>
      </w:r>
      <w:r>
        <w:rPr>
          <w:rFonts w:hint="eastAsia" w:ascii="宋体" w:hAnsi="宋体"/>
          <w:sz w:val="24"/>
          <w:szCs w:val="24"/>
          <w:highlight w:val="none"/>
        </w:rPr>
      </w:r>
      <w:r/>
    </w:p>
    <w:p>
      <w:pPr>
        <w:pStyle w:val="777"/>
        <w:ind w:firstLine="480"/>
        <w:spacing w:line="360" w:lineRule="auto"/>
        <w:rPr>
          <w:rFonts w:ascii="宋体" w:hAnsi="宋体"/>
          <w:sz w:val="24"/>
          <w:szCs w:val="24"/>
          <w:highlight w:val="none"/>
        </w:rPr>
      </w:pPr>
      <w:r>
        <w:rPr>
          <w:rFonts w:ascii="宋体" w:hAnsi="宋体"/>
          <w:sz w:val="24"/>
          <w:szCs w:val="24"/>
          <w:highlight w:val="none"/>
        </w:rPr>
      </w:r>
      <w:r/>
    </w:p>
    <w:p>
      <w:pPr>
        <w:pStyle w:val="789"/>
        <w:tabs>
          <w:tab w:val="left" w:pos="567" w:leader="none"/>
        </w:tabs>
        <w:rPr>
          <w:rFonts w:ascii="宋体" w:hAnsi="宋体"/>
          <w:sz w:val="24"/>
          <w:szCs w:val="24"/>
          <w:highlight w:val="none"/>
        </w:rPr>
      </w:pPr>
      <w:r>
        <w:rPr>
          <w:rFonts w:ascii="宋体" w:hAnsi="宋体"/>
          <w:sz w:val="24"/>
          <w:szCs w:val="24"/>
          <w:highlight w:val="none"/>
        </w:rPr>
      </w:r>
      <w:r/>
    </w:p>
    <w:p>
      <w:pPr>
        <w:pStyle w:val="777"/>
        <w:rPr>
          <w:highlight w:val="none"/>
        </w:rPr>
      </w:pPr>
      <w:r>
        <w:rPr>
          <w:highlight w:val="none"/>
        </w:rPr>
      </w:r>
      <w:r/>
    </w:p>
    <w:p>
      <w:pPr>
        <w:pStyle w:val="777"/>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甲方（盖章）：</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cs="宋体"/>
          <w:color w:val="000000"/>
          <w:sz w:val="24"/>
          <w:szCs w:val="24"/>
          <w:highlight w:val="none"/>
        </w:rPr>
        <w:t xml:space="preserve">乙方（盖章）：</w:t>
      </w:r>
      <w:r>
        <w:rPr>
          <w:rFonts w:ascii="宋体" w:hAnsi="宋体" w:cs="宋体"/>
          <w:color w:val="000000"/>
          <w:sz w:val="24"/>
          <w:szCs w:val="24"/>
          <w:highlight w:val="none"/>
        </w:rPr>
      </w:r>
      <w:r/>
    </w:p>
    <w:p>
      <w:pPr>
        <w:pStyle w:val="777"/>
        <w:ind w:firstLine="2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单位地址：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单位地址：      </w:t>
      </w:r>
      <w:r>
        <w:rPr>
          <w:rFonts w:ascii="宋体" w:hAnsi="宋体" w:cs="宋体"/>
          <w:color w:val="000000"/>
          <w:sz w:val="24"/>
          <w:szCs w:val="24"/>
          <w:highlight w:val="none"/>
        </w:rPr>
        <w:t xml:space="preserve">                      </w:t>
      </w:r>
      <w:r>
        <w:rPr>
          <w:rFonts w:ascii="宋体" w:hAnsi="宋体" w:cs="宋体"/>
          <w:color w:val="000000"/>
          <w:sz w:val="24"/>
          <w:szCs w:val="24"/>
          <w:highlight w:val="none"/>
          <w:u w:val="single"/>
        </w:rPr>
      </w:r>
      <w:r/>
    </w:p>
    <w:p>
      <w:pPr>
        <w:pStyle w:val="777"/>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r>
      <w:r/>
    </w:p>
    <w:p>
      <w:pPr>
        <w:pStyle w:val="777"/>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委托代理人：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委托代理人：</w:t>
      </w:r>
      <w:r>
        <w:rPr>
          <w:rFonts w:ascii="宋体" w:hAnsi="宋体" w:cs="宋体"/>
          <w:color w:val="000000"/>
          <w:sz w:val="24"/>
          <w:szCs w:val="24"/>
          <w:highlight w:val="none"/>
        </w:rPr>
      </w:r>
      <w:r/>
    </w:p>
    <w:p>
      <w:pPr>
        <w:pStyle w:val="777"/>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电话：</w:t>
      </w:r>
      <w:r>
        <w:rPr>
          <w:rFonts w:ascii="宋体" w:hAnsi="宋体" w:cs="宋体"/>
          <w:color w:val="000000"/>
          <w:sz w:val="24"/>
          <w:szCs w:val="24"/>
          <w:highlight w:val="none"/>
        </w:rPr>
      </w:r>
      <w:r/>
    </w:p>
    <w:p>
      <w:pPr>
        <w:pStyle w:val="777"/>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传真：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传真： </w:t>
      </w:r>
      <w:r>
        <w:rPr>
          <w:rFonts w:ascii="宋体" w:hAnsi="宋体" w:cs="宋体"/>
          <w:color w:val="000000"/>
          <w:sz w:val="24"/>
          <w:szCs w:val="24"/>
          <w:highlight w:val="none"/>
        </w:rPr>
      </w:r>
      <w:r/>
    </w:p>
    <w:p>
      <w:pPr>
        <w:pStyle w:val="777"/>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开户银行：</w:t>
      </w:r>
      <w:r>
        <w:rPr>
          <w:rFonts w:ascii="宋体" w:hAnsi="宋体" w:cs="宋体"/>
          <w:color w:val="000000"/>
          <w:sz w:val="24"/>
          <w:szCs w:val="24"/>
          <w:highlight w:val="none"/>
        </w:rPr>
      </w:r>
      <w:r/>
    </w:p>
    <w:p>
      <w:pPr>
        <w:pStyle w:val="777"/>
        <w:ind w:firstLine="240"/>
        <w:rPr>
          <w:rFonts w:hint="eastAsia"/>
          <w:highlight w:val="none"/>
        </w:rPr>
      </w:pPr>
      <w:r>
        <w:rPr>
          <w:rFonts w:hint="eastAsia" w:ascii="宋体" w:hAnsi="宋体" w:cs="宋体"/>
          <w:color w:val="000000"/>
          <w:sz w:val="24"/>
          <w:szCs w:val="24"/>
          <w:highlight w:val="none"/>
        </w:rPr>
        <w:t xml:space="preserve">帐号：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帐号：</w:t>
      </w:r>
      <w:r>
        <w:rPr>
          <w:rFonts w:hint="eastAsia"/>
          <w:highlight w:val="none"/>
        </w:rPr>
      </w:r>
      <w:r/>
    </w:p>
    <w:p>
      <w:pPr>
        <w:pStyle w:val="780"/>
        <w:rPr>
          <w:rFonts w:hint="eastAsia"/>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ighlight w:val="none"/>
        </w:rPr>
      </w:r>
      <w:r/>
    </w:p>
    <w:p>
      <w:pPr>
        <w:pStyle w:val="777"/>
        <w:jc w:val="center"/>
        <w:spacing w:line="360" w:lineRule="auto"/>
        <w:rPr>
          <w:b/>
          <w:sz w:val="36"/>
          <w:szCs w:val="36"/>
          <w:highlight w:val="none"/>
        </w:rPr>
        <w:outlineLvl w:val="0"/>
      </w:pPr>
      <w:r/>
      <w:bookmarkEnd w:id="808"/>
      <w:r/>
      <w:bookmarkStart w:id="809" w:name="_Toc99301426"/>
      <w:r>
        <w:rPr>
          <w:b/>
          <w:sz w:val="36"/>
          <w:szCs w:val="36"/>
          <w:highlight w:val="none"/>
        </w:rPr>
        <w:t xml:space="preserve">第七章   投标文件格式</w:t>
      </w:r>
      <w:bookmarkEnd w:id="809"/>
      <w:r>
        <w:rPr>
          <w:b/>
          <w:sz w:val="36"/>
          <w:szCs w:val="36"/>
          <w:highlight w:val="none"/>
        </w:rPr>
      </w:r>
      <w:r/>
    </w:p>
    <w:p>
      <w:pPr>
        <w:pStyle w:val="777"/>
        <w:ind w:left="142"/>
        <w:spacing w:line="360" w:lineRule="auto"/>
        <w:tabs>
          <w:tab w:val="left" w:pos="900" w:leader="none"/>
          <w:tab w:val="left" w:pos="1980" w:leader="none"/>
        </w:tabs>
        <w:rPr>
          <w:b/>
          <w:sz w:val="24"/>
          <w:highlight w:val="none"/>
        </w:rPr>
      </w:pPr>
      <w:r>
        <w:rPr>
          <w:b/>
          <w:sz w:val="24"/>
          <w:highlight w:val="none"/>
        </w:rPr>
      </w:r>
      <w:r/>
    </w:p>
    <w:p>
      <w:pPr>
        <w:pStyle w:val="777"/>
        <w:ind w:left="142"/>
        <w:spacing w:line="360" w:lineRule="auto"/>
        <w:tabs>
          <w:tab w:val="left" w:pos="900" w:leader="none"/>
          <w:tab w:val="left" w:pos="1980" w:leader="none"/>
        </w:tabs>
        <w:rPr>
          <w:b/>
          <w:sz w:val="24"/>
          <w:highlight w:val="none"/>
        </w:rPr>
      </w:pPr>
      <w:r>
        <w:rPr>
          <w:b/>
          <w:sz w:val="24"/>
          <w:highlight w:val="none"/>
        </w:rPr>
      </w:r>
      <w:r/>
    </w:p>
    <w:p>
      <w:pPr>
        <w:pStyle w:val="777"/>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777"/>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777"/>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777"/>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777"/>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777"/>
        <w:jc w:val="left"/>
        <w:widowControl/>
        <w:rPr>
          <w:sz w:val="24"/>
          <w:highlight w:val="none"/>
        </w:rPr>
      </w:pPr>
      <w:r>
        <w:rPr>
          <w:sz w:val="24"/>
          <w:highlight w:val="none"/>
        </w:rPr>
        <w:br w:type="page" w:clear="all"/>
      </w:r>
      <w:r>
        <w:rPr>
          <w:sz w:val="24"/>
          <w:highlight w:val="none"/>
        </w:rPr>
      </w:r>
      <w:r/>
    </w:p>
    <w:p>
      <w:pPr>
        <w:pStyle w:val="777"/>
        <w:jc w:val="left"/>
        <w:keepLines/>
        <w:keepNext/>
        <w:spacing w:before="120" w:line="300" w:lineRule="auto"/>
        <w:rPr>
          <w:b/>
          <w:sz w:val="30"/>
          <w:szCs w:val="20"/>
          <w:highlight w:val="none"/>
        </w:rPr>
        <w:outlineLvl w:val="1"/>
      </w:pPr>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Pr>
          <w:b/>
          <w:spacing w:val="20"/>
          <w:sz w:val="24"/>
          <w:highlight w:val="none"/>
        </w:rPr>
        <w:t xml:space="preserve">一、资格证明文件格式</w:t>
      </w:r>
      <w:r>
        <w:rPr>
          <w:b/>
          <w:sz w:val="30"/>
          <w:szCs w:val="20"/>
          <w:highlight w:val="none"/>
        </w:rPr>
      </w:r>
      <w:r/>
    </w:p>
    <w:p>
      <w:pPr>
        <w:pStyle w:val="777"/>
        <w:rPr>
          <w:b/>
          <w:spacing w:val="20"/>
          <w:szCs w:val="21"/>
          <w:highlight w:val="none"/>
        </w:rPr>
      </w:pPr>
      <w:r>
        <w:rPr>
          <w:b/>
          <w:spacing w:val="20"/>
          <w:szCs w:val="21"/>
          <w:highlight w:val="none"/>
        </w:rPr>
      </w:r>
      <w:r/>
    </w:p>
    <w:p>
      <w:pPr>
        <w:pStyle w:val="777"/>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777"/>
        <w:jc w:val="center"/>
        <w:rPr>
          <w:szCs w:val="21"/>
          <w:highlight w:val="none"/>
        </w:rPr>
      </w:pPr>
      <w:r>
        <w:rPr>
          <w:szCs w:val="21"/>
          <w:highlight w:val="none"/>
        </w:rPr>
      </w:r>
      <w:r/>
    </w:p>
    <w:p>
      <w:pPr>
        <w:pStyle w:val="777"/>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777"/>
        <w:ind w:firstLine="963"/>
        <w:rPr>
          <w:rFonts w:hint="eastAsia"/>
          <w:b/>
          <w:spacing w:val="60"/>
          <w:sz w:val="52"/>
          <w:szCs w:val="52"/>
          <w:highlight w:val="none"/>
        </w:rPr>
      </w:pPr>
      <w:r>
        <w:rPr>
          <w:rFonts w:hint="eastAsia"/>
          <w:b/>
          <w:spacing w:val="60"/>
          <w:sz w:val="52"/>
          <w:szCs w:val="52"/>
          <w:highlight w:val="none"/>
        </w:rPr>
      </w:r>
      <w:r/>
    </w:p>
    <w:p>
      <w:pPr>
        <w:pStyle w:val="777"/>
        <w:ind w:firstLine="963"/>
        <w:rPr>
          <w:rFonts w:hint="eastAsia"/>
          <w:b/>
          <w:spacing w:val="60"/>
          <w:sz w:val="52"/>
          <w:szCs w:val="52"/>
          <w:highlight w:val="none"/>
        </w:rPr>
      </w:pPr>
      <w:r>
        <w:rPr>
          <w:rFonts w:hint="eastAsia"/>
          <w:b/>
          <w:spacing w:val="60"/>
          <w:sz w:val="52"/>
          <w:szCs w:val="52"/>
          <w:highlight w:val="none"/>
        </w:rPr>
      </w:r>
      <w:r/>
    </w:p>
    <w:p>
      <w:pPr>
        <w:pStyle w:val="777"/>
        <w:ind w:firstLine="542"/>
        <w:rPr>
          <w:b/>
          <w:spacing w:val="20"/>
          <w:sz w:val="32"/>
          <w:szCs w:val="32"/>
          <w:highlight w:val="none"/>
        </w:rPr>
      </w:pPr>
      <w:r>
        <w:rPr>
          <w:b/>
          <w:spacing w:val="20"/>
          <w:sz w:val="32"/>
          <w:szCs w:val="32"/>
          <w:highlight w:val="none"/>
        </w:rPr>
      </w:r>
      <w:r/>
    </w:p>
    <w:p>
      <w:pPr>
        <w:pStyle w:val="777"/>
        <w:ind w:firstLine="542"/>
        <w:rPr>
          <w:b/>
          <w:spacing w:val="20"/>
          <w:sz w:val="32"/>
          <w:szCs w:val="32"/>
          <w:highlight w:val="none"/>
        </w:rPr>
      </w:pPr>
      <w:r>
        <w:rPr>
          <w:b/>
          <w:spacing w:val="20"/>
          <w:sz w:val="32"/>
          <w:szCs w:val="32"/>
          <w:highlight w:val="none"/>
        </w:rPr>
      </w:r>
      <w:r/>
    </w:p>
    <w:p>
      <w:pPr>
        <w:pStyle w:val="777"/>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777"/>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777"/>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777"/>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777"/>
        <w:jc w:val="center"/>
        <w:rPr>
          <w:b/>
          <w:sz w:val="32"/>
          <w:szCs w:val="32"/>
          <w:highlight w:val="none"/>
        </w:rPr>
      </w:pPr>
      <w:r>
        <w:rPr>
          <w:b/>
          <w:sz w:val="32"/>
          <w:szCs w:val="32"/>
          <w:highlight w:val="none"/>
        </w:rPr>
      </w:r>
      <w:r/>
    </w:p>
    <w:p>
      <w:pPr>
        <w:pStyle w:val="777"/>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777"/>
        <w:rPr>
          <w:b/>
          <w:highlight w:val="none"/>
        </w:rPr>
      </w:pPr>
      <w:r>
        <w:rPr>
          <w:b/>
          <w:highlight w:val="none"/>
        </w:rPr>
      </w:r>
      <w:r/>
    </w:p>
    <w:p>
      <w:pPr>
        <w:pStyle w:val="777"/>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780"/>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77"/>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777"/>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793"/>
        <w:ind w:firstLine="480"/>
        <w:spacing w:line="460" w:lineRule="exact"/>
        <w:rPr>
          <w:highlight w:val="none"/>
        </w:rPr>
      </w:pPr>
      <w:r>
        <w:rPr>
          <w:highlight w:val="none"/>
        </w:rPr>
      </w:r>
      <w:r/>
    </w:p>
    <w:p>
      <w:pPr>
        <w:pStyle w:val="793"/>
        <w:ind w:firstLine="480"/>
        <w:spacing w:line="460" w:lineRule="exact"/>
        <w:rPr>
          <w:rFonts w:hint="eastAsia" w:eastAsia="宋体"/>
          <w:highlight w:val="none"/>
          <w:lang w:eastAsia="zh-CN"/>
        </w:rPr>
      </w:pPr>
      <w:r>
        <w:rPr>
          <w:rFonts w:hint="eastAsia"/>
          <w:highlight w:val="none"/>
        </w:rPr>
        <w:t xml:space="preserve">致：</w:t>
      </w:r>
      <w:r>
        <w:rPr>
          <w:rFonts w:hint="eastAsia"/>
          <w:highlight w:val="none"/>
          <w:lang w:eastAsia="zh-CN"/>
        </w:rPr>
        <w:t xml:space="preserve">常州承宇工程顾问有限公司</w:t>
      </w:r>
      <w:r>
        <w:rPr>
          <w:rFonts w:hint="eastAsia" w:eastAsia="宋体"/>
          <w:highlight w:val="none"/>
          <w:lang w:eastAsia="zh-CN"/>
        </w:rPr>
      </w:r>
      <w:r/>
    </w:p>
    <w:p>
      <w:pPr>
        <w:pStyle w:val="793"/>
        <w:ind w:firstLine="960"/>
        <w:spacing w:line="460" w:lineRule="exact"/>
        <w:rPr>
          <w:highlight w:val="none"/>
          <w:u w:val="single"/>
        </w:rPr>
      </w:pPr>
      <w:r>
        <w:rPr>
          <w:rFonts w:hint="eastAsia"/>
          <w:highlight w:val="none"/>
          <w:u w:val="single"/>
        </w:rPr>
        <w:t xml:space="preserve">（采购人名称）</w:t>
      </w:r>
      <w:r>
        <w:rPr>
          <w:highlight w:val="none"/>
          <w:u w:val="single"/>
        </w:rPr>
      </w:r>
      <w:r/>
    </w:p>
    <w:p>
      <w:pPr>
        <w:pStyle w:val="793"/>
        <w:ind w:firstLine="480"/>
        <w:spacing w:line="460" w:lineRule="exact"/>
        <w:rPr>
          <w:highlight w:val="none"/>
        </w:rPr>
      </w:pPr>
      <w:r>
        <w:rPr>
          <w:highlight w:val="none"/>
        </w:rPr>
      </w:r>
      <w:r/>
    </w:p>
    <w:p>
      <w:pPr>
        <w:pStyle w:val="793"/>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793"/>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793"/>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793"/>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793"/>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793"/>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793"/>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793"/>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793"/>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793"/>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793"/>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793"/>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793"/>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793"/>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793"/>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793"/>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793"/>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793"/>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793"/>
        <w:ind w:firstLine="480"/>
        <w:spacing w:line="460" w:lineRule="exact"/>
        <w:rPr>
          <w:highlight w:val="none"/>
        </w:rPr>
      </w:pPr>
      <w:r>
        <w:rPr>
          <w:highlight w:val="none"/>
        </w:rPr>
      </w:r>
      <w:r/>
    </w:p>
    <w:p>
      <w:pPr>
        <w:pStyle w:val="793"/>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793"/>
        <w:ind w:firstLine="480"/>
        <w:spacing w:line="460" w:lineRule="exact"/>
        <w:rPr>
          <w:highlight w:val="none"/>
        </w:rPr>
      </w:pPr>
      <w:r>
        <w:rPr>
          <w:highlight w:val="none"/>
        </w:rPr>
      </w:r>
      <w:r/>
    </w:p>
    <w:p>
      <w:pPr>
        <w:pStyle w:val="793"/>
        <w:ind w:firstLine="480"/>
        <w:spacing w:line="460" w:lineRule="exact"/>
        <w:rPr>
          <w:highlight w:val="none"/>
        </w:rPr>
      </w:pPr>
      <w:r>
        <w:rPr>
          <w:highlight w:val="none"/>
        </w:rPr>
      </w:r>
      <w:r/>
    </w:p>
    <w:p>
      <w:pPr>
        <w:pStyle w:val="793"/>
        <w:ind w:firstLine="480"/>
        <w:spacing w:line="460" w:lineRule="exact"/>
        <w:rPr>
          <w:highlight w:val="none"/>
        </w:rPr>
      </w:pPr>
      <w:r>
        <w:rPr>
          <w:rFonts w:hint="eastAsia"/>
          <w:highlight w:val="none"/>
        </w:rPr>
        <w:t xml:space="preserve">                                            投标人：（加盖公章）</w:t>
      </w:r>
      <w:r>
        <w:rPr>
          <w:highlight w:val="none"/>
        </w:rPr>
      </w:r>
      <w:r/>
    </w:p>
    <w:p>
      <w:pPr>
        <w:pStyle w:val="793"/>
        <w:ind w:firstLine="480"/>
        <w:spacing w:line="460" w:lineRule="exact"/>
        <w:rPr>
          <w:highlight w:val="none"/>
        </w:rPr>
      </w:pPr>
      <w:r>
        <w:rPr>
          <w:rFonts w:hint="eastAsia"/>
          <w:highlight w:val="none"/>
        </w:rPr>
        <w:t xml:space="preserve">                                           法定代表人（或单位负责人）签字或盖章：</w:t>
      </w:r>
      <w:r>
        <w:rPr>
          <w:highlight w:val="none"/>
        </w:rPr>
      </w:r>
      <w:r/>
    </w:p>
    <w:p>
      <w:pPr>
        <w:pStyle w:val="793"/>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777"/>
        <w:spacing w:line="360" w:lineRule="auto"/>
        <w:rPr>
          <w:rFonts w:hint="eastAsia"/>
          <w:sz w:val="24"/>
          <w:highlight w:val="none"/>
        </w:rPr>
      </w:pPr>
      <w:r>
        <w:rPr>
          <w:rFonts w:hint="eastAsia"/>
          <w:sz w:val="24"/>
          <w:highlight w:val="none"/>
        </w:rPr>
      </w:r>
      <w:r/>
    </w:p>
    <w:p>
      <w:pPr>
        <w:pStyle w:val="777"/>
        <w:spacing w:line="360" w:lineRule="auto"/>
        <w:rPr>
          <w:rFonts w:hint="eastAsia"/>
          <w:sz w:val="24"/>
          <w:highlight w:val="none"/>
        </w:rPr>
      </w:pPr>
      <w:r>
        <w:rPr>
          <w:rFonts w:hint="eastAsia"/>
          <w:sz w:val="24"/>
          <w:highlight w:val="none"/>
        </w:rPr>
      </w:r>
      <w:r/>
    </w:p>
    <w:p>
      <w:pPr>
        <w:pStyle w:val="777"/>
        <w:spacing w:line="360" w:lineRule="auto"/>
        <w:rPr>
          <w:rFonts w:hint="eastAsia"/>
          <w:sz w:val="24"/>
          <w:highlight w:val="none"/>
        </w:rPr>
      </w:pPr>
      <w:r>
        <w:rPr>
          <w:rFonts w:hint="eastAsia"/>
          <w:sz w:val="24"/>
          <w:highlight w:val="none"/>
        </w:rPr>
      </w:r>
      <w:r/>
    </w:p>
    <w:p>
      <w:pPr>
        <w:pStyle w:val="777"/>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777"/>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777"/>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777"/>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777"/>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中小企业声明函（服务）格式</w:t>
      </w:r>
      <w:r>
        <w:rPr>
          <w:b/>
          <w:bCs/>
          <w:color w:val="000000"/>
          <w:sz w:val="36"/>
          <w:szCs w:val="36"/>
          <w:highlight w:val="none"/>
        </w:rPr>
      </w:r>
      <w:r/>
    </w:p>
    <w:p>
      <w:pPr>
        <w:pStyle w:val="777"/>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w:t>
      </w:r>
      <w:r>
        <w:rPr>
          <w:rFonts w:hint="eastAsia"/>
          <w:spacing w:val="6"/>
          <w:sz w:val="24"/>
          <w:highlight w:val="none"/>
        </w:rPr>
        <w:t xml:space="preserve">服务全部由符合政策的中小企业承接。根据《工业和信息化部、国家统计局、国家发展和改革委员会、财政部关于印发中小企业划型标准规定的通知》(工信部联</w:t>
      </w:r>
      <w:r>
        <w:rPr>
          <w:rFonts w:hint="eastAsia" w:ascii="宋体" w:hAnsi="宋体" w:eastAsia="宋体" w:cs="宋体"/>
          <w:spacing w:val="6"/>
          <w:sz w:val="24"/>
          <w:highlight w:val="none"/>
        </w:rPr>
        <w:t xml:space="preserve">企业[2011]300</w:t>
      </w:r>
      <w:r>
        <w:rPr>
          <w:rFonts w:hint="eastAsia"/>
          <w:spacing w:val="6"/>
          <w:sz w:val="24"/>
          <w:highlight w:val="none"/>
        </w:rPr>
        <w:t xml:space="preserve">号)的规定，相关企业（含联合体中的中小企业、签订分包意向协议的中小企业）的具体情况如下</w:t>
      </w:r>
      <w:r>
        <w:rPr>
          <w:spacing w:val="6"/>
          <w:sz w:val="24"/>
          <w:highlight w:val="none"/>
        </w:rPr>
        <w:t xml:space="preserve">：</w:t>
      </w:r>
      <w:r>
        <w:rPr>
          <w:spacing w:val="6"/>
          <w:sz w:val="24"/>
          <w:highlight w:val="none"/>
        </w:rPr>
      </w:r>
      <w:r/>
    </w:p>
    <w:p>
      <w:pPr>
        <w:pStyle w:val="777"/>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777"/>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777"/>
        <w:ind w:firstLine="504"/>
        <w:spacing w:line="360" w:lineRule="auto"/>
        <w:rPr>
          <w:spacing w:val="6"/>
          <w:sz w:val="24"/>
          <w:highlight w:val="none"/>
        </w:rPr>
      </w:pPr>
      <w:r>
        <w:rPr>
          <w:spacing w:val="6"/>
          <w:sz w:val="24"/>
          <w:highlight w:val="none"/>
        </w:rPr>
      </w:r>
      <w:r/>
    </w:p>
    <w:p>
      <w:pPr>
        <w:pStyle w:val="777"/>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777"/>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777"/>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777"/>
        <w:ind w:right="360" w:firstLine="480"/>
        <w:jc w:val="right"/>
        <w:spacing w:line="360" w:lineRule="auto"/>
        <w:rPr>
          <w:color w:val="000000"/>
          <w:sz w:val="24"/>
          <w:highlight w:val="none"/>
        </w:rPr>
      </w:pPr>
      <w:r>
        <w:rPr>
          <w:color w:val="000000"/>
          <w:sz w:val="24"/>
          <w:highlight w:val="none"/>
        </w:rPr>
      </w:r>
      <w:r/>
    </w:p>
    <w:p>
      <w:pPr>
        <w:pStyle w:val="777"/>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777"/>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777"/>
        <w:jc w:val="left"/>
        <w:rPr>
          <w:color w:val="000000"/>
          <w:sz w:val="24"/>
          <w:szCs w:val="21"/>
          <w:highlight w:val="none"/>
        </w:rPr>
      </w:pPr>
      <w:r>
        <w:rPr>
          <w:color w:val="000000"/>
          <w:sz w:val="24"/>
          <w:szCs w:val="21"/>
          <w:highlight w:val="none"/>
        </w:rPr>
      </w:r>
      <w:r/>
    </w:p>
    <w:p>
      <w:pPr>
        <w:pStyle w:val="777"/>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77"/>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777"/>
        <w:jc w:val="left"/>
        <w:rPr>
          <w:color w:val="000000"/>
          <w:szCs w:val="21"/>
          <w:highlight w:val="none"/>
          <w:vertAlign w:val="superscript"/>
        </w:rPr>
      </w:pPr>
      <w:r>
        <w:rPr>
          <w:color w:val="000000"/>
          <w:szCs w:val="21"/>
          <w:highlight w:val="none"/>
          <w:vertAlign w:val="superscript"/>
        </w:rPr>
      </w:r>
      <w:r/>
    </w:p>
    <w:p>
      <w:pPr>
        <w:pStyle w:val="777"/>
        <w:ind w:right="360" w:firstLine="480"/>
        <w:jc w:val="right"/>
        <w:spacing w:line="360" w:lineRule="auto"/>
        <w:rPr>
          <w:color w:val="000000"/>
          <w:sz w:val="24"/>
          <w:highlight w:val="none"/>
        </w:rPr>
      </w:pPr>
      <w:r>
        <w:rPr>
          <w:color w:val="000000"/>
          <w:sz w:val="24"/>
          <w:highlight w:val="none"/>
        </w:rPr>
      </w:r>
      <w:r/>
    </w:p>
    <w:p>
      <w:pPr>
        <w:pStyle w:val="777"/>
        <w:ind w:right="360" w:firstLine="480"/>
        <w:jc w:val="right"/>
        <w:spacing w:line="360" w:lineRule="auto"/>
        <w:rPr>
          <w:color w:val="000000"/>
          <w:sz w:val="24"/>
          <w:highlight w:val="none"/>
        </w:rPr>
      </w:pPr>
      <w:r>
        <w:rPr>
          <w:color w:val="000000"/>
          <w:sz w:val="24"/>
          <w:highlight w:val="none"/>
        </w:rPr>
      </w:r>
      <w:r/>
    </w:p>
    <w:p>
      <w:pPr>
        <w:pStyle w:val="777"/>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777"/>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777"/>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777"/>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777"/>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777"/>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777"/>
        <w:ind w:firstLine="504"/>
        <w:spacing w:line="588" w:lineRule="exact"/>
        <w:rPr>
          <w:spacing w:val="6"/>
          <w:sz w:val="24"/>
          <w:highlight w:val="none"/>
        </w:rPr>
      </w:pPr>
      <w:r>
        <w:rPr>
          <w:spacing w:val="6"/>
          <w:sz w:val="24"/>
          <w:highlight w:val="none"/>
        </w:rPr>
      </w:r>
      <w:r/>
    </w:p>
    <w:p>
      <w:pPr>
        <w:pStyle w:val="777"/>
        <w:ind w:firstLine="504"/>
        <w:spacing w:line="588" w:lineRule="exact"/>
        <w:rPr>
          <w:spacing w:val="6"/>
          <w:sz w:val="24"/>
          <w:highlight w:val="none"/>
        </w:rPr>
      </w:pPr>
      <w:r>
        <w:rPr>
          <w:spacing w:val="6"/>
          <w:sz w:val="24"/>
          <w:highlight w:val="none"/>
        </w:rPr>
      </w:r>
      <w:r/>
    </w:p>
    <w:p>
      <w:pPr>
        <w:pStyle w:val="777"/>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rPr>
          <w:spacing w:val="6"/>
          <w:sz w:val="24"/>
          <w:highlight w:val="none"/>
        </w:rPr>
      </w:r>
      <w:r/>
    </w:p>
    <w:p>
      <w:pPr>
        <w:pStyle w:val="777"/>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rPr>
          <w:rFonts w:hint="eastAsia"/>
          <w:spacing w:val="6"/>
          <w:sz w:val="24"/>
          <w:highlight w:val="none"/>
        </w:rPr>
      </w:r>
      <w:r/>
    </w:p>
    <w:p>
      <w:pPr>
        <w:pStyle w:val="777"/>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777"/>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777"/>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777"/>
        <w:ind w:right="1560" w:firstLine="504"/>
        <w:jc w:val="center"/>
        <w:spacing w:line="588" w:lineRule="exact"/>
        <w:tabs>
          <w:tab w:val="left" w:pos="4860" w:leader="none"/>
        </w:tabs>
        <w:rPr>
          <w:spacing w:val="6"/>
          <w:sz w:val="24"/>
          <w:highlight w:val="none"/>
        </w:rPr>
      </w:pPr>
      <w:r>
        <w:rPr>
          <w:spacing w:val="6"/>
          <w:sz w:val="24"/>
          <w:highlight w:val="none"/>
        </w:rPr>
      </w:r>
      <w:r/>
    </w:p>
    <w:p>
      <w:pPr>
        <w:pStyle w:val="777"/>
        <w:jc w:val="left"/>
        <w:widowControl/>
        <w:rPr>
          <w:sz w:val="24"/>
          <w:highlight w:val="none"/>
        </w:rPr>
      </w:pPr>
      <w:r>
        <w:rPr>
          <w:sz w:val="24"/>
          <w:highlight w:val="none"/>
        </w:rPr>
      </w:r>
      <w:r/>
    </w:p>
    <w:p>
      <w:pPr>
        <w:pStyle w:val="777"/>
        <w:jc w:val="left"/>
        <w:widowControl/>
        <w:rPr>
          <w:sz w:val="24"/>
          <w:highlight w:val="none"/>
        </w:rPr>
      </w:pPr>
      <w:r>
        <w:rPr>
          <w:sz w:val="24"/>
          <w:highlight w:val="none"/>
        </w:rPr>
        <w:br w:type="page" w:clear="all"/>
      </w:r>
      <w:r>
        <w:rPr>
          <w:color w:val="000000"/>
          <w:sz w:val="24"/>
          <w:szCs w:val="20"/>
          <w:highlight w:val="none"/>
        </w:rPr>
        <w:t xml:space="preserve">3 </w:t>
      </w:r>
      <w:r>
        <w:rPr>
          <w:sz w:val="24"/>
          <w:highlight w:val="none"/>
        </w:rPr>
        <w:t xml:space="preserve">本项目的特定资格要求</w:t>
      </w:r>
      <w:r>
        <w:rPr>
          <w:sz w:val="24"/>
          <w:highlight w:val="none"/>
        </w:rPr>
      </w:r>
      <w:r/>
    </w:p>
    <w:p>
      <w:pPr>
        <w:pStyle w:val="777"/>
        <w:spacing w:line="360" w:lineRule="auto"/>
        <w:rPr>
          <w:rFonts w:hint="eastAsia" w:eastAsia="宋体"/>
          <w:sz w:val="24"/>
          <w:szCs w:val="20"/>
          <w:highlight w:val="none"/>
          <w:lang w:eastAsia="zh-CN"/>
        </w:rPr>
      </w:pPr>
      <w:r>
        <w:rPr>
          <w:color w:val="000000"/>
          <w:sz w:val="24"/>
          <w:szCs w:val="20"/>
          <w:highlight w:val="none"/>
        </w:rPr>
        <w:t xml:space="preserve">3-</w:t>
      </w:r>
      <w:r>
        <w:rPr>
          <w:rFonts w:hint="eastAsia"/>
          <w:color w:val="000000"/>
          <w:sz w:val="24"/>
          <w:szCs w:val="20"/>
          <w:highlight w:val="none"/>
          <w:lang w:val="en-US" w:eastAsia="zh-CN"/>
        </w:rPr>
        <w:t xml:space="preserve">1</w:t>
      </w:r>
      <w:r>
        <w:rPr>
          <w:color w:val="000000"/>
          <w:sz w:val="24"/>
          <w:szCs w:val="20"/>
          <w:highlight w:val="none"/>
        </w:rPr>
        <w:t xml:space="preserve">其他</w:t>
      </w:r>
      <w:r>
        <w:rPr>
          <w:sz w:val="24"/>
          <w:szCs w:val="20"/>
          <w:highlight w:val="none"/>
        </w:rPr>
        <w:t xml:space="preserve">特定资格要求</w:t>
      </w:r>
      <w:r>
        <w:rPr>
          <w:rFonts w:hint="eastAsia"/>
          <w:sz w:val="24"/>
          <w:szCs w:val="20"/>
          <w:highlight w:val="none"/>
          <w:lang w:eastAsia="zh-CN"/>
        </w:rPr>
        <w:t xml:space="preserve">：</w:t>
      </w:r>
      <w:r>
        <w:rPr>
          <w:rFonts w:ascii="Times New Roman" w:hAnsi="Times New Roman" w:eastAsia="宋体" w:cs="Times New Roman"/>
          <w:sz w:val="24"/>
          <w:szCs w:val="20"/>
          <w:highlight w:val="none"/>
        </w:rPr>
        <w:t xml:space="preserve">见第一章《投标邀请》</w:t>
      </w:r>
      <w:r>
        <w:rPr>
          <w:rFonts w:hint="eastAsia" w:eastAsia="宋体"/>
          <w:sz w:val="24"/>
          <w:szCs w:val="20"/>
          <w:highlight w:val="none"/>
          <w:lang w:eastAsia="zh-CN"/>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ind w:left="719" w:hanging="240"/>
        <w:spacing w:line="360" w:lineRule="auto"/>
        <w:rPr>
          <w:rFonts w:hint="eastAsia"/>
          <w:sz w:val="24"/>
          <w:szCs w:val="20"/>
          <w:highlight w:val="none"/>
        </w:rPr>
      </w:pPr>
      <w:r>
        <w:rPr>
          <w:rFonts w:hint="eastAsia"/>
          <w:sz w:val="24"/>
          <w:szCs w:val="20"/>
          <w:highlight w:val="none"/>
        </w:rPr>
      </w:r>
      <w:r/>
    </w:p>
    <w:p>
      <w:pPr>
        <w:pStyle w:val="777"/>
        <w:jc w:val="left"/>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10" w:name="_Toc226337252"/>
      <w:r/>
      <w:bookmarkStart w:id="811" w:name="_Toc150480794"/>
      <w:r/>
      <w:bookmarkStart w:id="812" w:name="_Toc150774761"/>
      <w:r/>
      <w:bookmarkStart w:id="813" w:name="_Toc127151556"/>
      <w:r/>
      <w:bookmarkStart w:id="814" w:name="_Toc520356217"/>
      <w:r/>
      <w:bookmarkStart w:id="815" w:name="_Ref467988698"/>
      <w:r/>
      <w:bookmarkStart w:id="816" w:name="_Toc226965746"/>
      <w:r/>
      <w:bookmarkStart w:id="817" w:name="_Toc226309800"/>
      <w:r/>
      <w:bookmarkStart w:id="818" w:name="_Toc480942349"/>
      <w:r/>
      <w:bookmarkStart w:id="819" w:name="_Toc195842921"/>
      <w:r/>
      <w:bookmarkStart w:id="820" w:name="_Toc226965829"/>
      <w:r/>
      <w:bookmarkStart w:id="821" w:name="_Toc142311058"/>
      <w:r>
        <w:rPr>
          <w:rFonts w:hint="eastAsia" w:ascii="宋体" w:hAnsi="宋体"/>
          <w:b/>
          <w:sz w:val="32"/>
          <w:szCs w:val="32"/>
          <w:highlight w:val="none"/>
        </w:rPr>
      </w:r>
      <w:r/>
    </w:p>
    <w:p>
      <w:pPr>
        <w:pStyle w:val="777"/>
        <w:jc w:val="center"/>
        <w:widowControl/>
        <w:rPr>
          <w:rFonts w:hint="eastAsia" w:ascii="宋体" w:hAnsi="宋体"/>
          <w:b/>
          <w:sz w:val="32"/>
          <w:szCs w:val="32"/>
          <w:highlight w:val="none"/>
        </w:rPr>
      </w:pPr>
      <w:r>
        <w:rPr>
          <w:rFonts w:hint="eastAsia" w:ascii="宋体" w:hAnsi="宋体"/>
          <w:b/>
          <w:sz w:val="32"/>
          <w:szCs w:val="32"/>
          <w:highlight w:val="none"/>
        </w:rPr>
      </w:r>
      <w:r/>
    </w:p>
    <w:p>
      <w:pPr>
        <w:pStyle w:val="777"/>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77"/>
        <w:spacing w:line="360" w:lineRule="auto"/>
        <w:tabs>
          <w:tab w:val="left" w:pos="5580" w:leader="none"/>
        </w:tabs>
        <w:rPr>
          <w:color w:val="000000"/>
          <w:sz w:val="24"/>
          <w:highlight w:val="none"/>
        </w:rPr>
      </w:pPr>
      <w:r>
        <w:rPr>
          <w:color w:val="000000"/>
          <w:sz w:val="24"/>
          <w:highlight w:val="none"/>
        </w:rPr>
      </w:r>
      <w:r/>
    </w:p>
    <w:p>
      <w:pPr>
        <w:pStyle w:val="777"/>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77"/>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777"/>
        <w:spacing w:line="360" w:lineRule="auto"/>
        <w:tabs>
          <w:tab w:val="left" w:pos="5580" w:leader="none"/>
        </w:tabs>
        <w:rPr>
          <w:color w:val="000000"/>
          <w:sz w:val="24"/>
          <w:szCs w:val="20"/>
          <w:highlight w:val="none"/>
        </w:rPr>
      </w:pPr>
      <w:r>
        <w:rPr>
          <w:color w:val="000000"/>
          <w:sz w:val="24"/>
          <w:szCs w:val="20"/>
          <w:highlight w:val="none"/>
        </w:rPr>
      </w:r>
      <w:r/>
    </w:p>
    <w:p>
      <w:pPr>
        <w:pStyle w:val="777"/>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777"/>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777"/>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777"/>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777"/>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777"/>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777"/>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777"/>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777"/>
        <w:ind w:left="420"/>
        <w:spacing w:line="360" w:lineRule="auto"/>
        <w:tabs>
          <w:tab w:val="left" w:pos="5580" w:leader="none"/>
        </w:tabs>
        <w:rPr>
          <w:color w:val="000000"/>
          <w:sz w:val="24"/>
          <w:szCs w:val="20"/>
          <w:highlight w:val="none"/>
        </w:rPr>
      </w:pPr>
      <w:r>
        <w:rPr>
          <w:color w:val="000000"/>
          <w:sz w:val="24"/>
          <w:szCs w:val="20"/>
          <w:highlight w:val="none"/>
        </w:rPr>
      </w:r>
      <w:r/>
    </w:p>
    <w:p>
      <w:pPr>
        <w:pStyle w:val="777"/>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777"/>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777"/>
        <w:ind w:left="420"/>
        <w:spacing w:line="360" w:lineRule="auto"/>
        <w:tabs>
          <w:tab w:val="left" w:pos="5580" w:leader="none"/>
        </w:tabs>
        <w:rPr>
          <w:color w:val="000000"/>
          <w:sz w:val="24"/>
          <w:szCs w:val="20"/>
          <w:highlight w:val="none"/>
        </w:rPr>
      </w:pPr>
      <w:r>
        <w:rPr>
          <w:color w:val="000000"/>
          <w:sz w:val="24"/>
          <w:szCs w:val="20"/>
          <w:highlight w:val="none"/>
        </w:rPr>
      </w:r>
      <w:r/>
    </w:p>
    <w:p>
      <w:pPr>
        <w:pStyle w:val="777"/>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777"/>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777"/>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77"/>
        <w:jc w:val="left"/>
        <w:widowControl/>
        <w:rPr>
          <w:rFonts w:hint="eastAsia"/>
          <w:color w:val="000000"/>
          <w:sz w:val="24"/>
          <w:highlight w:val="none"/>
        </w:rPr>
      </w:pPr>
      <w:r/>
      <w:bookmarkStart w:id="822" w:name="_Hlt520355938"/>
      <w:r/>
      <w:bookmarkEnd w:id="822"/>
      <w:r/>
      <w:bookmarkStart w:id="823" w:name="_Hlt520356243"/>
      <w:r/>
      <w:bookmarkEnd w:id="823"/>
      <w:r>
        <w:rPr>
          <w:color w:val="000000"/>
          <w:sz w:val="24"/>
          <w:highlight w:val="none"/>
        </w:rPr>
        <w:br w:type="page" w:clear="all"/>
      </w:r>
      <w:r>
        <w:rPr>
          <w:rFonts w:hint="eastAsia"/>
          <w:color w:val="000000"/>
          <w:sz w:val="24"/>
          <w:highlight w:val="none"/>
        </w:rPr>
      </w:r>
      <w:r/>
    </w:p>
    <w:p>
      <w:pPr>
        <w:pStyle w:val="777"/>
        <w:jc w:val="left"/>
        <w:widowControl/>
        <w:rPr>
          <w:rFonts w:hint="eastAsia"/>
          <w:color w:val="000000"/>
          <w:sz w:val="24"/>
          <w:highlight w:val="none"/>
        </w:rPr>
      </w:pPr>
      <w:r>
        <w:rPr>
          <w:rFonts w:hint="eastAsia"/>
          <w:color w:val="000000"/>
          <w:sz w:val="24"/>
          <w:highlight w:val="none"/>
        </w:rPr>
        <w:t xml:space="preserve">2</w:t>
      </w:r>
      <w:r>
        <w:rPr>
          <w:rFonts w:hint="eastAsia"/>
          <w:color w:val="000000"/>
          <w:sz w:val="24"/>
          <w:highlight w:val="none"/>
          <w:lang w:val="en-US" w:eastAsia="zh-CN"/>
        </w:rPr>
        <w:t xml:space="preserve">-1</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777"/>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7"/>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777"/>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777"/>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777"/>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777"/>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777"/>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777"/>
        <w:spacing w:line="560" w:lineRule="exact"/>
        <w:rPr>
          <w:rFonts w:ascii="宋体" w:hAnsi="宋体"/>
          <w:sz w:val="24"/>
          <w:highlight w:val="none"/>
        </w:rPr>
      </w:pPr>
      <w:r>
        <w:rPr>
          <w:rFonts w:ascii="宋体" w:hAnsi="宋体"/>
          <w:sz w:val="24"/>
          <w:highlight w:val="none"/>
        </w:rPr>
      </w:r>
      <w:r/>
    </w:p>
    <w:p>
      <w:pPr>
        <w:pStyle w:val="789"/>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77"/>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777"/>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777"/>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777"/>
        <w:jc w:val="left"/>
        <w:widowControl/>
        <w:rPr>
          <w:rFonts w:hint="eastAsia"/>
          <w:color w:val="000000"/>
          <w:sz w:val="24"/>
          <w:highlight w:val="none"/>
        </w:rPr>
      </w:pPr>
      <w:r>
        <w:rPr>
          <w:rFonts w:hint="eastAsia"/>
          <w:color w:val="000000"/>
          <w:sz w:val="24"/>
          <w:highlight w:val="none"/>
        </w:rPr>
      </w:r>
      <w:r/>
    </w:p>
    <w:p>
      <w:pPr>
        <w:pStyle w:val="777"/>
        <w:jc w:val="left"/>
        <w:widowControl/>
        <w:rPr>
          <w:rFonts w:hint="eastAsia"/>
          <w:color w:val="000000"/>
          <w:sz w:val="24"/>
          <w:highlight w:val="none"/>
        </w:rPr>
      </w:pPr>
      <w:r>
        <w:rPr>
          <w:rFonts w:hint="eastAsia"/>
          <w:color w:val="000000"/>
          <w:sz w:val="24"/>
          <w:highlight w:val="none"/>
        </w:rPr>
      </w:r>
      <w:r/>
    </w:p>
    <w:p>
      <w:pPr>
        <w:pStyle w:val="777"/>
        <w:jc w:val="left"/>
        <w:widowControl/>
        <w:rPr>
          <w:rFonts w:hint="eastAsia"/>
          <w:color w:val="000000"/>
          <w:sz w:val="24"/>
          <w:highlight w:val="none"/>
        </w:rPr>
      </w:pPr>
      <w:r>
        <w:rPr>
          <w:rFonts w:hint="eastAsia"/>
          <w:color w:val="000000"/>
          <w:sz w:val="24"/>
          <w:highlight w:val="none"/>
        </w:rPr>
      </w:r>
      <w:r/>
    </w:p>
    <w:p>
      <w:pPr>
        <w:pStyle w:val="777"/>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77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777"/>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777"/>
        <w:jc w:val="left"/>
        <w:widowControl/>
        <w:rPr>
          <w:rFonts w:hint="eastAsia"/>
          <w:color w:val="000000"/>
          <w:sz w:val="24"/>
          <w:highlight w:val="none"/>
        </w:rPr>
      </w:pPr>
      <w:r>
        <w:rPr>
          <w:rFonts w:hint="eastAsia"/>
          <w:color w:val="000000"/>
          <w:sz w:val="24"/>
          <w:highlight w:val="none"/>
        </w:rPr>
      </w:r>
      <w:r/>
    </w:p>
    <w:p>
      <w:pPr>
        <w:pStyle w:val="777"/>
        <w:jc w:val="left"/>
        <w:widowControl/>
        <w:rPr>
          <w:rFonts w:hint="eastAsia"/>
          <w:color w:val="000000"/>
          <w:sz w:val="24"/>
          <w:highlight w:val="none"/>
        </w:rPr>
      </w:pPr>
      <w:r>
        <w:rPr>
          <w:rFonts w:hint="eastAsia"/>
          <w:color w:val="000000"/>
          <w:sz w:val="24"/>
          <w:highlight w:val="none"/>
        </w:rPr>
      </w:r>
      <w:r/>
    </w:p>
    <w:p>
      <w:pPr>
        <w:pStyle w:val="777"/>
        <w:jc w:val="left"/>
        <w:widowControl/>
        <w:rPr>
          <w:rFonts w:hint="eastAsia"/>
          <w:color w:val="000000"/>
          <w:sz w:val="24"/>
          <w:highlight w:val="none"/>
        </w:rPr>
      </w:pPr>
      <w:r>
        <w:rPr>
          <w:rFonts w:hint="eastAsia"/>
          <w:color w:val="000000"/>
          <w:sz w:val="24"/>
          <w:highlight w:val="none"/>
        </w:rPr>
      </w:r>
      <w:r/>
    </w:p>
    <w:p>
      <w:pPr>
        <w:pStyle w:val="777"/>
        <w:jc w:val="left"/>
        <w:widowControl/>
        <w:rPr>
          <w:rFonts w:hint="eastAsia"/>
          <w:color w:val="000000"/>
          <w:sz w:val="24"/>
          <w:highlight w:val="none"/>
        </w:rPr>
      </w:pPr>
      <w:r>
        <w:rPr>
          <w:rFonts w:hint="eastAsia"/>
          <w:color w:val="000000"/>
          <w:sz w:val="24"/>
          <w:highlight w:val="none"/>
        </w:rPr>
      </w:r>
      <w:r/>
    </w:p>
    <w:p>
      <w:pPr>
        <w:pStyle w:val="777"/>
        <w:jc w:val="left"/>
        <w:widowControl/>
        <w:rPr>
          <w:rFonts w:hint="eastAsia" w:eastAsia="宋体"/>
          <w:sz w:val="24"/>
          <w:highlight w:val="none"/>
          <w:lang w:eastAsia="zh-CN"/>
        </w:rPr>
      </w:pPr>
      <w:r>
        <w:rPr>
          <w:rFonts w:hint="eastAsia"/>
          <w:color w:val="000000"/>
          <w:sz w:val="24"/>
          <w:highlight w:val="none"/>
          <w:lang w:val="en-US" w:eastAsia="zh-CN"/>
        </w:rPr>
        <w:t xml:space="preserve">2-2 </w:t>
      </w:r>
      <w:r>
        <w:rPr>
          <w:rFonts w:hint="eastAsia"/>
          <w:sz w:val="24"/>
          <w:highlight w:val="none"/>
        </w:rPr>
        <w:t xml:space="preserve">授权委托书（实质性格式）</w:t>
      </w:r>
      <w:r>
        <w:rPr>
          <w:rFonts w:hint="eastAsia"/>
          <w:sz w:val="24"/>
          <w:highlight w:val="none"/>
          <w:lang w:eastAsia="zh-CN"/>
        </w:rPr>
        <w:t xml:space="preserve">（</w:t>
      </w:r>
      <w:r>
        <w:rPr>
          <w:rFonts w:hint="eastAsia"/>
          <w:sz w:val="24"/>
          <w:highlight w:val="none"/>
          <w:lang w:val="en-US" w:eastAsia="zh-CN"/>
        </w:rPr>
        <w:t xml:space="preserve">如有</w:t>
      </w:r>
      <w:r>
        <w:rPr>
          <w:rFonts w:hint="eastAsia"/>
          <w:sz w:val="24"/>
          <w:highlight w:val="none"/>
          <w:lang w:eastAsia="zh-CN"/>
        </w:rPr>
        <w:t xml:space="preserve">）</w:t>
      </w:r>
      <w:r>
        <w:rPr>
          <w:rFonts w:hint="eastAsia" w:eastAsia="宋体"/>
          <w:sz w:val="24"/>
          <w:highlight w:val="none"/>
          <w:lang w:eastAsia="zh-CN"/>
        </w:rPr>
      </w:r>
      <w:r/>
    </w:p>
    <w:p>
      <w:pPr>
        <w:pStyle w:val="777"/>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7"/>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授权委托书</w:t>
      </w:r>
      <w:r>
        <w:rPr>
          <w:rFonts w:hint="eastAsia" w:ascii="宋体" w:hAnsi="宋体"/>
          <w:b/>
          <w:sz w:val="32"/>
          <w:szCs w:val="32"/>
          <w:highlight w:val="none"/>
        </w:rPr>
      </w:r>
      <w:r/>
    </w:p>
    <w:p>
      <w:pPr>
        <w:pStyle w:val="777"/>
        <w:ind w:firstLine="516"/>
        <w:spacing w:line="360" w:lineRule="auto"/>
        <w:rPr>
          <w:rFonts w:ascii="宋体" w:hAnsi="宋体" w:cs="宋体"/>
          <w:sz w:val="24"/>
          <w:highlight w:val="none"/>
        </w:rPr>
      </w:pPr>
      <w:r>
        <w:rPr>
          <w:rFonts w:ascii="宋体" w:hAnsi="宋体" w:cs="宋体"/>
          <w:sz w:val="24"/>
          <w:highlight w:val="none"/>
        </w:rPr>
      </w:r>
      <w:r/>
    </w:p>
    <w:p>
      <w:pPr>
        <w:pStyle w:val="777"/>
        <w:ind w:firstLine="516"/>
        <w:spacing w:line="360" w:lineRule="auto"/>
        <w:rPr>
          <w:rFonts w:ascii="宋体" w:hAnsi="宋体" w:cs="宋体"/>
          <w:sz w:val="24"/>
          <w:highlight w:val="none"/>
        </w:rPr>
      </w:pPr>
      <w:r>
        <w:rPr>
          <w:rFonts w:hint="eastAsia" w:ascii="宋体" w:hAnsi="宋体" w:cs="宋体"/>
          <w:sz w:val="24"/>
          <w:highlight w:val="none"/>
        </w:rPr>
        <w:t xml:space="preserve">本授权委托书声明：我 ___________(姓名)系_________________（供应商名称）的法定代表人，现授权委托__________________（被授权人的姓名、职务）为本次</w:t>
      </w:r>
      <w:r>
        <w:rPr>
          <w:rFonts w:hint="eastAsia" w:ascii="宋体" w:hAnsi="宋体" w:cs="宋体"/>
          <w:sz w:val="24"/>
          <w:highlight w:val="none"/>
          <w:lang w:val="en-US" w:eastAsia="zh-CN"/>
        </w:rPr>
        <w:t xml:space="preserve">招投标活动</w:t>
      </w:r>
      <w:r>
        <w:rPr>
          <w:rFonts w:hint="eastAsia" w:ascii="宋体" w:hAnsi="宋体" w:cs="宋体"/>
          <w:sz w:val="24"/>
          <w:highlight w:val="none"/>
        </w:rPr>
        <w:t xml:space="preserve">中我单位的合法代理人，全权负责参加本次项目的</w:t>
      </w:r>
      <w:r>
        <w:rPr>
          <w:rFonts w:hint="eastAsia" w:ascii="宋体" w:hAnsi="宋体" w:cs="宋体"/>
          <w:sz w:val="24"/>
          <w:highlight w:val="none"/>
          <w:lang w:val="en-US" w:eastAsia="zh-CN"/>
        </w:rPr>
        <w:t xml:space="preserve">招投标</w:t>
      </w:r>
      <w:r>
        <w:rPr>
          <w:rFonts w:hint="eastAsia" w:ascii="宋体" w:hAnsi="宋体" w:cs="宋体"/>
          <w:sz w:val="24"/>
          <w:highlight w:val="none"/>
        </w:rPr>
        <w:t xml:space="preserve">、签订合约以及与之相关的各项工作。本供应商对被授权人的签名负全部责任。</w:t>
      </w:r>
      <w:r>
        <w:rPr>
          <w:rFonts w:ascii="宋体" w:hAnsi="宋体" w:cs="宋体"/>
          <w:sz w:val="24"/>
          <w:highlight w:val="none"/>
        </w:rPr>
      </w:r>
      <w:r/>
    </w:p>
    <w:p>
      <w:pPr>
        <w:pStyle w:val="777"/>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rPr>
          <w:rFonts w:ascii="宋体" w:hAnsi="宋体" w:cs="宋体"/>
          <w:sz w:val="24"/>
          <w:highlight w:val="none"/>
        </w:rPr>
      </w:r>
      <w:r/>
    </w:p>
    <w:p>
      <w:pPr>
        <w:pStyle w:val="777"/>
        <w:spacing w:line="360" w:lineRule="auto"/>
        <w:rPr>
          <w:rFonts w:ascii="宋体" w:hAnsi="宋体" w:cs="宋体"/>
          <w:sz w:val="24"/>
          <w:highlight w:val="none"/>
        </w:rPr>
      </w:pPr>
      <w:r>
        <w:rPr>
          <w:rFonts w:ascii="宋体" w:hAnsi="宋体" w:cs="宋体"/>
          <w:sz w:val="24"/>
          <w:highlight w:val="none"/>
        </w:rPr>
      </w:r>
      <w:r/>
    </w:p>
    <w:p>
      <w:pPr>
        <w:pStyle w:val="777"/>
        <w:spacing w:line="40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777"/>
        <w:spacing w:line="40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777"/>
        <w:spacing w:line="40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777"/>
        <w:spacing w:line="40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777"/>
        <w:spacing w:line="400" w:lineRule="exact"/>
        <w:rPr>
          <w:rFonts w:ascii="宋体" w:hAnsi="宋体" w:cs="宋体"/>
          <w:szCs w:val="21"/>
          <w:highlight w:val="none"/>
        </w:rPr>
      </w:pPr>
      <w:r>
        <w:rPr>
          <w:rFonts w:ascii="宋体" w:hAnsi="宋体" w:cs="宋体"/>
          <w:szCs w:val="21"/>
          <w:highlight w:val="none"/>
        </w:rPr>
      </w:r>
      <w:r/>
    </w:p>
    <w:p>
      <w:pPr>
        <w:pStyle w:val="777"/>
        <w:spacing w:line="400" w:lineRule="exact"/>
        <w:rPr>
          <w:rFonts w:ascii="宋体" w:hAnsi="宋体" w:cs="宋体"/>
          <w:szCs w:val="21"/>
          <w:highlight w:val="none"/>
        </w:rPr>
      </w:pPr>
      <w:r>
        <w:rPr>
          <w:rFonts w:hint="eastAsia" w:ascii="宋体" w:hAnsi="宋体" w:cs="宋体"/>
          <w:szCs w:val="21"/>
          <w:highlight w:val="none"/>
        </w:rPr>
        <w:t xml:space="preserve">委托代理人（被授权人）签字或盖章：           日期：</w:t>
      </w:r>
      <w:r>
        <w:rPr>
          <w:rFonts w:ascii="宋体" w:hAnsi="宋体" w:cs="宋体"/>
          <w:szCs w:val="21"/>
          <w:highlight w:val="none"/>
        </w:rPr>
      </w:r>
      <w:r/>
    </w:p>
    <w:p>
      <w:pPr>
        <w:pStyle w:val="777"/>
        <w:spacing w:line="40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777"/>
        <w:spacing w:line="40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777"/>
        <w:spacing w:line="40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777"/>
        <w:spacing w:line="400" w:lineRule="exact"/>
        <w:rPr>
          <w:rFonts w:ascii="宋体" w:hAnsi="宋体" w:cs="宋体"/>
          <w:szCs w:val="21"/>
          <w:highlight w:val="none"/>
        </w:rPr>
      </w:pPr>
      <w:r>
        <w:rPr>
          <w:rFonts w:ascii="宋体" w:hAnsi="宋体" w:cs="宋体"/>
          <w:szCs w:val="21"/>
          <w:highlight w:val="none"/>
        </w:rPr>
      </w:r>
      <w:r/>
    </w:p>
    <w:p>
      <w:pPr>
        <w:pStyle w:val="777"/>
        <w:spacing w:line="400" w:lineRule="exact"/>
        <w:rPr>
          <w:rFonts w:ascii="宋体" w:hAnsi="宋体" w:cs="宋体"/>
          <w:szCs w:val="21"/>
          <w:highlight w:val="none"/>
        </w:rPr>
      </w:pPr>
      <w:r>
        <w:rPr>
          <w:rFonts w:hint="eastAsia" w:ascii="宋体" w:hAnsi="宋体" w:cs="宋体"/>
          <w:szCs w:val="21"/>
          <w:highlight w:val="none"/>
        </w:rPr>
        <w:t xml:space="preserve">供应商公章： </w:t>
      </w:r>
      <w:r>
        <w:rPr>
          <w:rFonts w:ascii="宋体" w:hAnsi="宋体" w:cs="宋体"/>
          <w:szCs w:val="21"/>
          <w:highlight w:val="none"/>
        </w:rPr>
      </w:r>
      <w:r/>
    </w:p>
    <w:p>
      <w:pPr>
        <w:pStyle w:val="777"/>
        <w:spacing w:line="40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777"/>
        <w:spacing w:line="400" w:lineRule="exact"/>
        <w:rPr>
          <w:rFonts w:ascii="宋体" w:hAnsi="宋体" w:cs="宋体"/>
          <w:szCs w:val="21"/>
          <w:highlight w:val="none"/>
        </w:rPr>
      </w:pPr>
      <w:r>
        <w:rPr>
          <w:rFonts w:hint="eastAsia" w:ascii="宋体" w:hAnsi="宋体" w:cs="宋体"/>
          <w:szCs w:val="21"/>
          <w:highlight w:val="none"/>
        </w:rPr>
        <w:t xml:space="preserve">传真：                                       邮编：</w:t>
      </w:r>
      <w:r>
        <w:rPr>
          <w:rFonts w:ascii="宋体" w:hAnsi="宋体" w:cs="宋体"/>
          <w:szCs w:val="21"/>
          <w:highlight w:val="none"/>
        </w:rPr>
      </w:r>
      <w:r/>
    </w:p>
    <w:p>
      <w:pPr>
        <w:pStyle w:val="777"/>
        <w:spacing w:line="40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777"/>
        <w:spacing w:line="40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777"/>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pStyle w:val="777"/>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t xml:space="preserve">附：代理人身份证正反面电子件</w:t>
      </w:r>
      <w:r>
        <w:rPr>
          <w:rFonts w:hint="eastAsia" w:ascii="宋体" w:hAnsi="宋体"/>
          <w:sz w:val="24"/>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7"/>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777"/>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777"/>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777"/>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777"/>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777"/>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777"/>
        <w:jc w:val="left"/>
        <w:widowControl/>
        <w:rPr>
          <w:rFonts w:eastAsia="宋体"/>
          <w:color w:val="000000"/>
          <w:sz w:val="24"/>
          <w:highlight w:val="none"/>
          <w:lang w:val="en-US" w:eastAsia="zh-CN"/>
        </w:rPr>
        <w:sectPr>
          <w:headerReference w:type="even" r:id="rId13"/>
          <w:headerReference w:type="first" r:id="rId14"/>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pPr>
      <w:r>
        <w:rPr>
          <w:rFonts w:eastAsia="宋体"/>
          <w:color w:val="000000"/>
          <w:sz w:val="24"/>
          <w:highlight w:val="none"/>
          <w:lang w:val="en-US" w:eastAsia="zh-CN"/>
        </w:rPr>
      </w:r>
      <w:r/>
    </w:p>
    <w:p>
      <w:pPr>
        <w:pStyle w:val="777"/>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777"/>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77"/>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777"/>
        <w:ind w:firstLine="640"/>
        <w:rPr>
          <w:highlight w:val="none"/>
        </w:rPr>
      </w:pPr>
      <w:r>
        <w:rPr>
          <w:highlight w:val="none"/>
        </w:rPr>
      </w:r>
      <w:r/>
    </w:p>
    <w:p>
      <w:pPr>
        <w:pStyle w:val="777"/>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777"/>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777"/>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777"/>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777"/>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777"/>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777"/>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777"/>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777"/>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777"/>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777"/>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777"/>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028"/>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77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7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77"/>
        <w:jc w:val="left"/>
        <w:widowControl/>
        <w:rPr>
          <w:color w:val="000000"/>
          <w:sz w:val="24"/>
          <w:szCs w:val="20"/>
          <w:highlight w:val="none"/>
        </w:rPr>
      </w:pPr>
      <w:r/>
      <w:bookmarkStart w:id="824" w:name="_Hlt520343000"/>
      <w:r/>
      <w:bookmarkEnd w:id="824"/>
      <w:r/>
      <w:bookmarkStart w:id="825" w:name="_Hlt520274065"/>
      <w:r/>
      <w:bookmarkEnd w:id="825"/>
      <w:r/>
      <w:bookmarkStart w:id="826" w:name="_Hlt520343392"/>
      <w:r/>
      <w:bookmarkEnd w:id="826"/>
      <w:r/>
      <w:bookmarkStart w:id="827" w:name="_Hlt520271212"/>
      <w:r/>
      <w:bookmarkEnd w:id="827"/>
      <w:r/>
      <w:bookmarkStart w:id="828" w:name="_Hlt520350918"/>
      <w:r/>
      <w:bookmarkEnd w:id="828"/>
      <w:r/>
      <w:bookmarkStart w:id="829" w:name="_Hlt520273711"/>
      <w:r/>
      <w:bookmarkEnd w:id="829"/>
      <w:r/>
      <w:bookmarkStart w:id="830" w:name="_Hlt520274393"/>
      <w:r/>
      <w:bookmarkEnd w:id="830"/>
      <w:r/>
      <w:bookmarkStart w:id="831" w:name="_Hlt520274121"/>
      <w:r/>
      <w:bookmarkEnd w:id="831"/>
      <w:r/>
      <w:bookmarkStart w:id="832" w:name="_Hlt520274407"/>
      <w:r/>
      <w:bookmarkEnd w:id="832"/>
      <w:r/>
      <w:bookmarkStart w:id="833" w:name="_Hlt520355504"/>
      <w:r/>
      <w:bookmarkEnd w:id="833"/>
      <w:r/>
      <w:bookmarkStart w:id="834" w:name="_Toc195842922"/>
      <w:r/>
      <w:bookmarkStart w:id="835" w:name="_Toc305158825"/>
      <w:r/>
      <w:bookmarkStart w:id="836" w:name="_Toc226309801"/>
      <w:r/>
      <w:bookmarkStart w:id="837" w:name="_Toc264969247"/>
      <w:r/>
      <w:bookmarkStart w:id="838" w:name="_Toc226337253"/>
      <w:r/>
      <w:bookmarkStart w:id="839" w:name="_Toc305158899"/>
      <w:r/>
      <w:bookmarkStart w:id="840" w:name="_Toc142311059"/>
      <w:r/>
      <w:bookmarkStart w:id="841" w:name="_Toc226965830"/>
      <w:r/>
      <w:bookmarkStart w:id="842" w:name="_Toc150774762"/>
      <w:r/>
      <w:bookmarkStart w:id="843" w:name="_Toc265228395"/>
      <w:r/>
      <w:bookmarkStart w:id="844" w:name="_Toc480942350"/>
      <w:r/>
      <w:bookmarkStart w:id="845" w:name="_Toc127151557"/>
      <w:r/>
      <w:bookmarkStart w:id="846" w:name="_Toc226965747"/>
      <w:r/>
      <w:bookmarkStart w:id="847" w:name="_Toc150480795"/>
      <w:r/>
      <w:bookmarkStart w:id="848" w:name="_Ref467988705"/>
      <w:r/>
      <w:bookmarkStart w:id="849" w:name="_Toc520356218"/>
      <w:r>
        <w:rPr>
          <w:color w:val="000000"/>
          <w:sz w:val="24"/>
          <w:szCs w:val="20"/>
          <w:highlight w:val="none"/>
        </w:rPr>
        <w:br w:type="page" w:clear="all"/>
      </w:r>
      <w:r>
        <w:rPr>
          <w:color w:val="000000"/>
          <w:sz w:val="24"/>
          <w:szCs w:val="20"/>
          <w:highlight w:val="none"/>
        </w:rPr>
      </w:r>
      <w:r/>
    </w:p>
    <w:p>
      <w:pPr>
        <w:pStyle w:val="777"/>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rPr>
          <w:color w:val="000000"/>
          <w:sz w:val="24"/>
          <w:szCs w:val="20"/>
          <w:highlight w:val="none"/>
        </w:rPr>
        <w:t xml:space="preserve">（实质性格式）</w:t>
      </w:r>
      <w:r>
        <w:rPr>
          <w:color w:val="000000"/>
          <w:sz w:val="24"/>
          <w:szCs w:val="20"/>
          <w:highlight w:val="none"/>
        </w:rPr>
      </w:r>
      <w:r/>
    </w:p>
    <w:p>
      <w:pPr>
        <w:pStyle w:val="777"/>
        <w:jc w:val="center"/>
        <w:spacing w:line="360" w:lineRule="exact"/>
        <w:rPr>
          <w:b/>
          <w:color w:val="000000"/>
          <w:sz w:val="36"/>
          <w:szCs w:val="36"/>
          <w:highlight w:val="none"/>
        </w:rPr>
      </w:pPr>
      <w:r/>
      <w:bookmarkStart w:id="850" w:name="_Toc226965831"/>
      <w:r/>
      <w:bookmarkStart w:id="851" w:name="_Toc305158826"/>
      <w:r/>
      <w:bookmarkStart w:id="852" w:name="_Toc305158900"/>
      <w:r/>
      <w:bookmarkStart w:id="853" w:name="_Toc226337254"/>
      <w:r/>
      <w:bookmarkStart w:id="854" w:name="_Toc226965748"/>
      <w:r/>
      <w:bookmarkStart w:id="855" w:name="_Toc164608827"/>
      <w:r/>
      <w:bookmarkStart w:id="856" w:name="_Toc195842923"/>
      <w:r/>
      <w:bookmarkStart w:id="857" w:name="_Toc164608672"/>
      <w:r/>
      <w:bookmarkStart w:id="858" w:name="_Toc265228396"/>
      <w:r/>
      <w:bookmarkStart w:id="859" w:name="_Toc226309802"/>
      <w:r/>
      <w:bookmarkStart w:id="860" w:name="_Toc264969248"/>
      <w:r>
        <w:rPr>
          <w:rFonts w:hint="eastAsia"/>
          <w:b/>
          <w:color w:val="000000"/>
          <w:sz w:val="36"/>
          <w:szCs w:val="36"/>
          <w:highlight w:val="none"/>
        </w:rPr>
        <w:t xml:space="preserve">开标一览表</w:t>
      </w:r>
      <w:bookmarkEnd w:id="850"/>
      <w:r/>
      <w:bookmarkEnd w:id="851"/>
      <w:r/>
      <w:bookmarkEnd w:id="852"/>
      <w:r/>
      <w:bookmarkEnd w:id="853"/>
      <w:r/>
      <w:bookmarkEnd w:id="854"/>
      <w:r/>
      <w:bookmarkEnd w:id="855"/>
      <w:r/>
      <w:bookmarkEnd w:id="856"/>
      <w:r/>
      <w:bookmarkEnd w:id="857"/>
      <w:r/>
      <w:bookmarkEnd w:id="858"/>
      <w:r/>
      <w:bookmarkEnd w:id="859"/>
      <w:r/>
      <w:bookmarkEnd w:id="860"/>
      <w:r>
        <w:rPr>
          <w:b/>
          <w:color w:val="000000"/>
          <w:sz w:val="36"/>
          <w:szCs w:val="36"/>
          <w:highlight w:val="none"/>
        </w:rPr>
      </w:r>
      <w:r/>
    </w:p>
    <w:p>
      <w:pPr>
        <w:pStyle w:val="777"/>
        <w:ind w:firstLine="240"/>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777"/>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507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17"/>
        <w:gridCol w:w="2921"/>
        <w:gridCol w:w="2733"/>
        <w:gridCol w:w="2440"/>
      </w:tblGrid>
      <w:tr>
        <w:trPr>
          <w:trHeight w:val="1185"/>
        </w:trPr>
        <w:tc>
          <w:tcPr>
            <w:tcW w:w="606" w:type="dxa"/>
            <w:vAlign w:val="center"/>
            <w:textDirection w:val="lrTb"/>
            <w:noWrap w:val="false"/>
          </w:tcPr>
          <w:p>
            <w:pPr>
              <w:pStyle w:val="777"/>
              <w:jc w:val="center"/>
              <w:tabs>
                <w:tab w:val="left" w:pos="5580" w:leader="none"/>
              </w:tabs>
              <w:rPr>
                <w:b/>
                <w:sz w:val="24"/>
                <w:highlight w:val="none"/>
              </w:rPr>
            </w:pPr>
            <w:r>
              <w:rPr>
                <w:b/>
                <w:sz w:val="24"/>
                <w:highlight w:val="none"/>
              </w:rPr>
              <w:t xml:space="preserve">序号</w:t>
            </w:r>
            <w:r>
              <w:rPr>
                <w:b/>
                <w:sz w:val="24"/>
                <w:highlight w:val="none"/>
              </w:rPr>
            </w:r>
            <w:r/>
          </w:p>
        </w:tc>
        <w:tc>
          <w:tcPr>
            <w:tcW w:w="1585" w:type="dxa"/>
            <w:vAlign w:val="center"/>
            <w:textDirection w:val="lrTb"/>
            <w:noWrap w:val="false"/>
          </w:tcPr>
          <w:p>
            <w:pPr>
              <w:pStyle w:val="777"/>
              <w:jc w:val="center"/>
              <w:tabs>
                <w:tab w:val="left" w:pos="5580" w:leader="none"/>
              </w:tabs>
              <w:rPr>
                <w:b/>
                <w:sz w:val="24"/>
                <w:highlight w:val="none"/>
              </w:rPr>
            </w:pPr>
            <w:r>
              <w:rPr>
                <w:b/>
                <w:sz w:val="24"/>
                <w:highlight w:val="none"/>
              </w:rPr>
              <w:t xml:space="preserve">投标人名称</w:t>
            </w:r>
            <w:r>
              <w:rPr>
                <w:b/>
                <w:sz w:val="24"/>
                <w:highlight w:val="none"/>
              </w:rPr>
            </w:r>
            <w:r/>
          </w:p>
        </w:tc>
        <w:tc>
          <w:tcPr>
            <w:tcW w:w="1483" w:type="dxa"/>
            <w:vAlign w:val="center"/>
            <w:textDirection w:val="lrTb"/>
            <w:noWrap w:val="false"/>
          </w:tcPr>
          <w:p>
            <w:pPr>
              <w:pStyle w:val="777"/>
              <w:jc w:val="center"/>
              <w:tabs>
                <w:tab w:val="left" w:pos="5580" w:leader="none"/>
              </w:tabs>
              <w:rPr>
                <w:b/>
                <w:sz w:val="24"/>
                <w:highlight w:val="none"/>
              </w:rPr>
            </w:pPr>
            <w:r>
              <w:rPr>
                <w:b/>
                <w:sz w:val="24"/>
                <w:highlight w:val="none"/>
              </w:rPr>
              <w:t xml:space="preserve">投标</w:t>
            </w:r>
            <w:r>
              <w:rPr>
                <w:rFonts w:hint="eastAsia"/>
                <w:b/>
                <w:sz w:val="24"/>
                <w:highlight w:val="none"/>
                <w:lang w:val="en-US" w:eastAsia="zh-CN"/>
              </w:rPr>
              <w:t xml:space="preserve">优惠率</w:t>
            </w:r>
            <w:r>
              <w:rPr>
                <w:b/>
                <w:sz w:val="24"/>
                <w:highlight w:val="none"/>
              </w:rPr>
            </w:r>
            <w:r/>
          </w:p>
        </w:tc>
        <w:tc>
          <w:tcPr>
            <w:tcW w:w="1324" w:type="dxa"/>
            <w:vAlign w:val="center"/>
            <w:textDirection w:val="lrTb"/>
            <w:noWrap w:val="false"/>
          </w:tcPr>
          <w:p>
            <w:pPr>
              <w:pStyle w:val="777"/>
              <w:jc w:val="center"/>
              <w:tabs>
                <w:tab w:val="left" w:pos="5580" w:leader="none"/>
              </w:tabs>
              <w:rPr>
                <w:rFonts w:hint="eastAsia" w:eastAsia="宋体"/>
                <w:b/>
                <w:sz w:val="24"/>
                <w:highlight w:val="none"/>
                <w:lang w:eastAsia="zh-CN"/>
              </w:rPr>
            </w:pPr>
            <w:r>
              <w:rPr>
                <w:rFonts w:hint="eastAsia" w:ascii="Times New Roman" w:hAnsi="Times New Roman" w:eastAsia="宋体" w:cs="Times New Roman"/>
                <w:b/>
                <w:sz w:val="24"/>
                <w:highlight w:val="none"/>
                <w:lang w:val="en-US" w:eastAsia="zh-CN"/>
              </w:rPr>
              <w:t xml:space="preserve">备注</w:t>
            </w:r>
            <w:r>
              <w:rPr>
                <w:rFonts w:hint="eastAsia" w:eastAsia="宋体"/>
                <w:b/>
                <w:sz w:val="24"/>
                <w:highlight w:val="none"/>
                <w:lang w:eastAsia="zh-CN"/>
              </w:rPr>
            </w:r>
            <w:r/>
          </w:p>
        </w:tc>
      </w:tr>
      <w:tr>
        <w:trPr>
          <w:trHeight w:val="2261"/>
        </w:trPr>
        <w:tc>
          <w:tcPr>
            <w:tcW w:w="606" w:type="dxa"/>
            <w:vAlign w:val="center"/>
            <w:textDirection w:val="lrTb"/>
            <w:noWrap w:val="false"/>
          </w:tcPr>
          <w:p>
            <w:pPr>
              <w:pStyle w:val="777"/>
              <w:jc w:val="center"/>
              <w:tabs>
                <w:tab w:val="left" w:pos="5580" w:leader="none"/>
              </w:tabs>
              <w:rPr>
                <w:sz w:val="24"/>
                <w:highlight w:val="none"/>
              </w:rPr>
            </w:pPr>
            <w:r>
              <w:rPr>
                <w:sz w:val="24"/>
                <w:highlight w:val="none"/>
              </w:rPr>
            </w:r>
            <w:r/>
          </w:p>
        </w:tc>
        <w:tc>
          <w:tcPr>
            <w:tcW w:w="1585" w:type="dxa"/>
            <w:vAlign w:val="center"/>
            <w:textDirection w:val="lrTb"/>
            <w:noWrap w:val="false"/>
          </w:tcPr>
          <w:p>
            <w:pPr>
              <w:pStyle w:val="777"/>
              <w:jc w:val="center"/>
              <w:tabs>
                <w:tab w:val="left" w:pos="5580" w:leader="none"/>
              </w:tabs>
              <w:rPr>
                <w:sz w:val="24"/>
                <w:highlight w:val="none"/>
              </w:rPr>
            </w:pPr>
            <w:r>
              <w:rPr>
                <w:sz w:val="24"/>
                <w:highlight w:val="none"/>
              </w:rPr>
            </w:r>
            <w:r/>
          </w:p>
        </w:tc>
        <w:tc>
          <w:tcPr>
            <w:tcW w:w="1483" w:type="dxa"/>
            <w:vAlign w:val="center"/>
            <w:textDirection w:val="lrTb"/>
            <w:noWrap w:val="false"/>
          </w:tcPr>
          <w:p>
            <w:pPr>
              <w:pStyle w:val="777"/>
              <w:jc w:val="center"/>
              <w:tabs>
                <w:tab w:val="left" w:pos="5580" w:leader="none"/>
              </w:tabs>
              <w:rPr>
                <w:sz w:val="24"/>
                <w:highlight w:val="none"/>
              </w:rPr>
            </w:pPr>
            <w:r>
              <w:rPr>
                <w:sz w:val="24"/>
                <w:highlight w:val="none"/>
              </w:rPr>
            </w:r>
            <w:r/>
          </w:p>
        </w:tc>
        <w:tc>
          <w:tcPr>
            <w:tcW w:w="1324" w:type="dxa"/>
            <w:vAlign w:val="center"/>
            <w:textDirection w:val="lrTb"/>
            <w:noWrap w:val="false"/>
          </w:tcPr>
          <w:p>
            <w:pPr>
              <w:pStyle w:val="777"/>
              <w:jc w:val="center"/>
              <w:tabs>
                <w:tab w:val="left" w:pos="5580" w:leader="none"/>
              </w:tabs>
              <w:rPr>
                <w:rFonts w:eastAsia="宋体"/>
                <w:sz w:val="24"/>
                <w:highlight w:val="none"/>
                <w:lang w:val="en-US" w:eastAsia="zh-CN"/>
              </w:rPr>
            </w:pPr>
            <w:r>
              <w:rPr>
                <w:rFonts w:hint="eastAsia"/>
                <w:sz w:val="24"/>
                <w:highlight w:val="none"/>
              </w:rPr>
              <w:t xml:space="preserve">监测响应时间</w:t>
            </w:r>
            <w:r>
              <w:rPr>
                <w:rFonts w:hint="eastAsia"/>
                <w:sz w:val="24"/>
                <w:highlight w:val="none"/>
                <w:u w:val="single"/>
                <w:lang w:val="en-US" w:eastAsia="zh-CN"/>
              </w:rPr>
              <w:t xml:space="preserve">     </w:t>
            </w:r>
            <w:r>
              <w:rPr>
                <w:rFonts w:hint="eastAsia"/>
                <w:sz w:val="24"/>
                <w:highlight w:val="none"/>
                <w:u w:val="none"/>
                <w:lang w:val="en-US" w:eastAsia="zh-CN"/>
              </w:rPr>
              <w:t xml:space="preserve">。</w:t>
            </w:r>
            <w:r>
              <w:rPr>
                <w:rFonts w:eastAsia="宋体"/>
                <w:sz w:val="24"/>
                <w:highlight w:val="none"/>
                <w:lang w:val="en-US" w:eastAsia="zh-CN"/>
              </w:rPr>
            </w:r>
            <w:r/>
          </w:p>
        </w:tc>
      </w:tr>
    </w:tbl>
    <w:p>
      <w:pPr>
        <w:pStyle w:val="777"/>
        <w:jc w:val="left"/>
        <w:rPr>
          <w:color w:val="000000"/>
          <w:sz w:val="24"/>
          <w:highlight w:val="none"/>
        </w:rPr>
      </w:pPr>
      <w:r>
        <w:rPr>
          <w:color w:val="000000"/>
          <w:sz w:val="24"/>
          <w:highlight w:val="none"/>
        </w:rPr>
      </w:r>
      <w:r/>
    </w:p>
    <w:p>
      <w:pPr>
        <w:pStyle w:val="777"/>
        <w:ind w:firstLine="72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w:t>
      </w:r>
      <w:r>
        <w:rPr>
          <w:rFonts w:hint="eastAsia" w:ascii="宋体" w:hAnsi="宋体" w:eastAsia="宋体" w:cs="宋体"/>
          <w:color w:val="000000"/>
          <w:sz w:val="24"/>
          <w:highlight w:val="none"/>
          <w:lang w:val="en-US" w:eastAsia="zh-CN"/>
        </w:rPr>
        <w:t xml:space="preserve">本项目</w:t>
      </w:r>
      <w:r>
        <w:rPr>
          <w:rFonts w:hint="eastAsia" w:ascii="宋体" w:hAnsi="宋体" w:eastAsia="宋体" w:cs="宋体"/>
          <w:color w:val="000000"/>
          <w:sz w:val="24"/>
          <w:highlight w:val="none"/>
        </w:rPr>
        <w:t xml:space="preserve">以优惠率报价。</w:t>
      </w:r>
      <w:r>
        <w:rPr>
          <w:rFonts w:hint="eastAsia" w:ascii="宋体" w:hAnsi="宋体" w:eastAsia="宋体" w:cs="宋体"/>
          <w:b w:val="0"/>
          <w:bCs w:val="0"/>
          <w:color w:val="000000"/>
          <w:sz w:val="24"/>
          <w:highlight w:val="none"/>
        </w:rPr>
        <w:t xml:space="preserve">以《江苏省环境监测专业服务管理办法》、《江苏省环境监测专业服务收费标准》（苏价费[2006]397号）和《省物价局、省财政厅关于降低收费标准和实施收费减免的通知》（以下简称收费标准）为参照，投标人报出优惠率，优惠率不得低于或等于</w:t>
      </w:r>
      <w:r>
        <w:rPr>
          <w:rFonts w:hint="eastAsia" w:ascii="宋体" w:hAnsi="宋体" w:eastAsia="宋体" w:cs="宋体"/>
          <w:b w:val="0"/>
          <w:bCs w:val="0"/>
          <w:color w:val="000000"/>
          <w:sz w:val="24"/>
          <w:highlight w:val="none"/>
          <w:lang w:eastAsia="zh-CN"/>
        </w:rPr>
        <w:t xml:space="preserve">40%</w:t>
      </w:r>
      <w:r>
        <w:rPr>
          <w:rFonts w:hint="eastAsia" w:ascii="宋体" w:hAnsi="宋体" w:eastAsia="宋体" w:cs="宋体"/>
          <w:b w:val="0"/>
          <w:bCs w:val="0"/>
          <w:color w:val="000000"/>
          <w:sz w:val="24"/>
          <w:highlight w:val="none"/>
        </w:rPr>
        <w:t xml:space="preserve">，否则作为无效投标。</w:t>
      </w:r>
      <w:r>
        <w:rPr>
          <w:rFonts w:hint="eastAsia" w:ascii="宋体" w:hAnsi="宋体" w:eastAsia="宋体" w:cs="宋体"/>
          <w:color w:val="000000"/>
          <w:sz w:val="24"/>
          <w:highlight w:val="none"/>
        </w:rPr>
      </w:r>
      <w:r/>
    </w:p>
    <w:p>
      <w:pPr>
        <w:pStyle w:val="777"/>
        <w:ind w:firstLine="480"/>
        <w:jc w:val="left"/>
        <w:spacing w:line="360" w:lineRule="auto"/>
        <w:tabs>
          <w:tab w:val="left" w:pos="1800" w:leader="none"/>
          <w:tab w:val="left" w:pos="55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lang w:val="en-US" w:eastAsia="zh-CN"/>
        </w:rPr>
        <w:t xml:space="preserve">报价</w:t>
      </w:r>
      <w:r>
        <w:rPr>
          <w:rFonts w:hint="eastAsia" w:ascii="宋体" w:hAnsi="宋体" w:eastAsia="宋体" w:cs="宋体"/>
          <w:color w:val="000000"/>
          <w:sz w:val="24"/>
          <w:highlight w:val="none"/>
        </w:rPr>
        <w:t xml:space="preserve">时，应综合考虑完成本项目所需的全部服务成本、企业利润、税金和政策性文件规定及合同包含的所有风险、责任等各项应有费用</w:t>
      </w:r>
      <w:r>
        <w:rPr>
          <w:rFonts w:hint="eastAsia" w:ascii="宋体" w:hAnsi="宋体" w:eastAsia="宋体" w:cs="宋体"/>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含</w:t>
      </w:r>
      <w:r>
        <w:rPr>
          <w:rFonts w:hint="eastAsia" w:ascii="宋体" w:hAnsi="宋体" w:eastAsia="宋体" w:cs="宋体"/>
          <w:b/>
          <w:bCs/>
          <w:color w:val="000000"/>
          <w:sz w:val="24"/>
          <w:highlight w:val="none"/>
          <w:lang w:eastAsia="zh-CN"/>
        </w:rPr>
        <w:t xml:space="preserve">采样、分析所需相关人工费用（节假日、双休日等综合在内），采样、分析所需车辆运输费用，对场地进行测绘定点和点位复测、标高测量及地质勘探</w:t>
      </w:r>
      <w:r>
        <w:rPr>
          <w:rFonts w:hint="eastAsia" w:ascii="宋体" w:hAnsi="宋体" w:eastAsia="宋体" w:cs="宋体"/>
          <w:b/>
          <w:bCs/>
          <w:color w:val="000000"/>
          <w:sz w:val="24"/>
          <w:highlight w:val="none"/>
          <w:lang w:val="en-US" w:eastAsia="zh-CN"/>
        </w:rPr>
        <w:t xml:space="preserve">的测点费用，测点、采样机械进出场费用，水样采集井、地下样品采集含相应采样耗材等包括但不限于以上的全部从采样到出报告的全部费用，均含在本次报价中，不再另行计取；</w:t>
      </w:r>
      <w:r>
        <w:rPr>
          <w:rFonts w:hint="eastAsia" w:ascii="宋体" w:hAnsi="宋体" w:eastAsia="宋体" w:cs="宋体"/>
          <w:b/>
          <w:bCs/>
          <w:color w:val="000000"/>
          <w:sz w:val="24"/>
          <w:highlight w:val="none"/>
          <w:lang w:val="zh-CN" w:eastAsia="zh-CN"/>
        </w:rPr>
        <w:t xml:space="preserve">出具包括但不限于满足委甲方要求，符合相应规范的书面报告；</w:t>
      </w:r>
      <w:r>
        <w:rPr>
          <w:rFonts w:hint="eastAsia" w:ascii="宋体" w:hAnsi="宋体" w:eastAsia="宋体" w:cs="宋体"/>
          <w:b/>
          <w:bCs/>
          <w:color w:val="000000"/>
          <w:sz w:val="24"/>
          <w:highlight w:val="none"/>
          <w:lang w:val="en-US" w:eastAsia="zh-CN"/>
        </w:rPr>
        <w:t xml:space="preserve">最终按委托方签证及报告中的检测内容结算费用，收费标准中未单列收费的，招标人不另行给予计取费用。</w:t>
      </w:r>
      <w:r>
        <w:rPr>
          <w:rFonts w:hint="eastAsia" w:ascii="宋体" w:hAnsi="宋体" w:eastAsia="宋体" w:cs="宋体"/>
          <w:color w:val="000000"/>
          <w:sz w:val="24"/>
          <w:highlight w:val="none"/>
          <w:lang w:val="en-US" w:eastAsia="zh-CN"/>
        </w:rPr>
      </w:r>
      <w:r/>
    </w:p>
    <w:p>
      <w:pPr>
        <w:pStyle w:val="777"/>
        <w:ind w:firstLine="480"/>
        <w:jc w:val="left"/>
        <w:spacing w:line="360" w:lineRule="auto"/>
        <w:tabs>
          <w:tab w:val="left" w:pos="1800" w:leader="none"/>
          <w:tab w:val="left" w:pos="5580" w:leader="none"/>
        </w:tabs>
        <w:rPr>
          <w:color w:val="000000"/>
          <w:sz w:val="24"/>
          <w:highlight w:val="none"/>
          <w:lang w:val="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.监测响应时间为从接到采购人通知至监测单位到采样现场的时间。</w:t>
      </w:r>
      <w:r>
        <w:rPr>
          <w:color w:val="000000"/>
          <w:sz w:val="24"/>
          <w:highlight w:val="none"/>
          <w:lang w:val="zh-CN"/>
        </w:rPr>
        <w:t xml:space="preserve">                      </w:t>
      </w:r>
      <w:r>
        <w:rPr>
          <w:color w:val="000000"/>
          <w:sz w:val="24"/>
          <w:highlight w:val="none"/>
          <w:lang w:val="zh-CN"/>
        </w:rPr>
      </w:r>
      <w:r/>
    </w:p>
    <w:p>
      <w:pPr>
        <w:pStyle w:val="77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7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77"/>
        <w:spacing w:line="360" w:lineRule="auto"/>
        <w:rPr>
          <w:color w:val="000000"/>
          <w:sz w:val="24"/>
          <w:szCs w:val="20"/>
          <w:highlight w:val="none"/>
        </w:rPr>
        <w:outlineLvl w:val="2"/>
      </w:pPr>
      <w:r/>
      <w:bookmarkStart w:id="861" w:name="_Toc265228397"/>
      <w:r/>
      <w:bookmarkStart w:id="862" w:name="_Toc264969249"/>
      <w:r/>
      <w:bookmarkStart w:id="863" w:name="_Toc305158827"/>
      <w:r/>
      <w:bookmarkStart w:id="864" w:name="_Toc150774763"/>
      <w:r/>
      <w:bookmarkStart w:id="865" w:name="_Toc142311060"/>
      <w:r/>
      <w:bookmarkStart w:id="866" w:name="_Toc305158901"/>
      <w:r/>
      <w:bookmarkStart w:id="867" w:name="_Toc127151558"/>
      <w:r/>
      <w:bookmarkStart w:id="868" w:name="_Toc226337255"/>
      <w:r/>
      <w:bookmarkStart w:id="869" w:name="_Toc226309803"/>
      <w:r/>
      <w:bookmarkStart w:id="870" w:name="_Toc195842924"/>
      <w:r/>
      <w:bookmarkStart w:id="871" w:name="_Toc226965832"/>
      <w:r/>
      <w:bookmarkStart w:id="872" w:name="_Toc226965749"/>
      <w:r/>
      <w:bookmarkStart w:id="873" w:name="_Toc150480796"/>
      <w:r>
        <w:rPr>
          <w:color w:val="000000"/>
          <w:sz w:val="24"/>
          <w:szCs w:val="20"/>
          <w:highlight w:val="none"/>
        </w:rPr>
        <w:br w:type="page" w:clear="all"/>
      </w:r>
      <w:r>
        <w:rPr>
          <w:rFonts w:hint="eastAsia"/>
          <w:color w:val="000000"/>
          <w:sz w:val="24"/>
          <w:szCs w:val="20"/>
          <w:highlight w:val="none"/>
          <w:lang w:val="en-US" w:eastAsia="zh-CN"/>
        </w:rPr>
        <w:t xml:space="preserve">5</w:t>
      </w:r>
      <w:r>
        <w:rPr>
          <w:color w:val="000000"/>
          <w:sz w:val="24"/>
          <w:szCs w:val="20"/>
          <w:highlight w:val="none"/>
        </w:rPr>
        <w:t xml:space="preserve">  </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Start w:id="874" w:name="_Toc264969252"/>
      <w:r/>
      <w:bookmarkStart w:id="875" w:name="_Toc226965835"/>
      <w:r/>
      <w:bookmarkStart w:id="876" w:name="_Toc265228400"/>
      <w:r/>
      <w:bookmarkStart w:id="877" w:name="_Toc195842927"/>
      <w:r/>
      <w:bookmarkStart w:id="878" w:name="_Toc226337258"/>
      <w:r/>
      <w:bookmarkStart w:id="879" w:name="_Toc150480798"/>
      <w:r/>
      <w:bookmarkStart w:id="880" w:name="_Toc127151562"/>
      <w:r/>
      <w:bookmarkStart w:id="881" w:name="_Toc150774765"/>
      <w:r/>
      <w:bookmarkStart w:id="882" w:name="_Toc226309806"/>
      <w:r/>
      <w:bookmarkStart w:id="883" w:name="_Toc305158904"/>
      <w:r/>
      <w:bookmarkStart w:id="884" w:name="_Toc226965752"/>
      <w:r/>
      <w:bookmarkStart w:id="885" w:name="_Toc142311062"/>
      <w:r/>
      <w:bookmarkStart w:id="886" w:name="_Toc305158830"/>
      <w:r/>
      <w:bookmarkStart w:id="887" w:name="_Toc127151561"/>
      <w:r/>
      <w:bookmarkStart w:id="888" w:name="_Toc150480797"/>
      <w:r/>
      <w:bookmarkStart w:id="889" w:name="_Toc226309805"/>
      <w:r/>
      <w:bookmarkStart w:id="890" w:name="_Toc150774764"/>
      <w:r/>
      <w:bookmarkStart w:id="891" w:name="_Toc195842926"/>
      <w:r/>
      <w:bookmarkStart w:id="892" w:name="_Toc305158829"/>
      <w:r/>
      <w:bookmarkStart w:id="893" w:name="_Toc226965834"/>
      <w:r/>
      <w:bookmarkStart w:id="894" w:name="_Toc305158903"/>
      <w:r/>
      <w:bookmarkStart w:id="895" w:name="_Toc142311061"/>
      <w:r/>
      <w:bookmarkStart w:id="896" w:name="_Toc226337257"/>
      <w:r/>
      <w:bookmarkStart w:id="897" w:name="_Toc226965751"/>
      <w:r/>
      <w:bookmarkStart w:id="898" w:name="_Toc264969251"/>
      <w:r/>
      <w:bookmarkStart w:id="899" w:name="_Toc265228399"/>
      <w:r>
        <w:rPr>
          <w:color w:val="000000"/>
          <w:sz w:val="24"/>
          <w:szCs w:val="20"/>
          <w:highlight w:val="none"/>
        </w:rPr>
        <w:t xml:space="preserve">  合同条款偏离表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color w:val="000000"/>
          <w:sz w:val="24"/>
          <w:szCs w:val="20"/>
          <w:highlight w:val="none"/>
        </w:rPr>
        <w:t xml:space="preserve">（实质性格式）</w:t>
      </w:r>
      <w:r>
        <w:rPr>
          <w:color w:val="000000"/>
          <w:sz w:val="24"/>
          <w:szCs w:val="20"/>
          <w:highlight w:val="none"/>
        </w:rPr>
      </w:r>
      <w:r/>
    </w:p>
    <w:p>
      <w:pPr>
        <w:pStyle w:val="777"/>
        <w:spacing w:line="360" w:lineRule="auto"/>
        <w:rPr>
          <w:color w:val="000000"/>
          <w:sz w:val="24"/>
          <w:szCs w:val="20"/>
          <w:highlight w:val="none"/>
        </w:rPr>
      </w:pPr>
      <w:r>
        <w:rPr>
          <w:color w:val="000000"/>
          <w:sz w:val="24"/>
          <w:szCs w:val="20"/>
          <w:highlight w:val="none"/>
        </w:rPr>
      </w:r>
      <w:r/>
    </w:p>
    <w:p>
      <w:pPr>
        <w:pStyle w:val="777"/>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777"/>
        <w:spacing w:line="360" w:lineRule="auto"/>
        <w:rPr>
          <w:color w:val="000000"/>
          <w:sz w:val="24"/>
          <w:szCs w:val="20"/>
          <w:highlight w:val="none"/>
        </w:rPr>
      </w:pPr>
      <w:r>
        <w:rPr>
          <w:color w:val="000000"/>
          <w:sz w:val="24"/>
          <w:szCs w:val="20"/>
          <w:highlight w:val="none"/>
        </w:rPr>
      </w:r>
      <w:r/>
    </w:p>
    <w:p>
      <w:pPr>
        <w:pStyle w:val="777"/>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777"/>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777"/>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77"/>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777"/>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77"/>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77"/>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77"/>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777"/>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7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77"/>
              <w:jc w:val="center"/>
              <w:rPr>
                <w:color w:val="000000"/>
                <w:sz w:val="24"/>
                <w:highlight w:val="none"/>
              </w:rPr>
            </w:pPr>
            <w:r>
              <w:rPr>
                <w:color w:val="000000"/>
                <w:sz w:val="24"/>
                <w:highlight w:val="none"/>
              </w:rPr>
            </w:r>
            <w:r/>
          </w:p>
        </w:tc>
        <w:tc>
          <w:tcPr>
            <w:tcW w:w="1301" w:type="dxa"/>
            <w:vAlign w:val="center"/>
            <w:textDirection w:val="lrTb"/>
            <w:noWrap w:val="false"/>
          </w:tcPr>
          <w:p>
            <w:pPr>
              <w:pStyle w:val="777"/>
              <w:jc w:val="center"/>
              <w:rPr>
                <w:color w:val="000000"/>
                <w:sz w:val="24"/>
                <w:highlight w:val="none"/>
              </w:rPr>
            </w:pPr>
            <w:r>
              <w:rPr>
                <w:color w:val="000000"/>
                <w:sz w:val="24"/>
                <w:highlight w:val="none"/>
              </w:rPr>
            </w:r>
            <w:r/>
          </w:p>
        </w:tc>
        <w:tc>
          <w:tcPr>
            <w:tcW w:w="2007" w:type="dxa"/>
            <w:vAlign w:val="center"/>
            <w:textDirection w:val="lrTb"/>
            <w:noWrap w:val="false"/>
          </w:tcPr>
          <w:p>
            <w:pPr>
              <w:pStyle w:val="777"/>
              <w:jc w:val="center"/>
              <w:rPr>
                <w:color w:val="000000"/>
                <w:sz w:val="24"/>
                <w:highlight w:val="none"/>
              </w:rPr>
            </w:pPr>
            <w:r>
              <w:rPr>
                <w:color w:val="000000"/>
                <w:sz w:val="24"/>
                <w:highlight w:val="none"/>
              </w:rPr>
            </w:r>
            <w:r/>
          </w:p>
        </w:tc>
        <w:tc>
          <w:tcPr>
            <w:tcW w:w="2008" w:type="dxa"/>
            <w:vAlign w:val="center"/>
            <w:textDirection w:val="lrTb"/>
            <w:noWrap w:val="false"/>
          </w:tcPr>
          <w:p>
            <w:pPr>
              <w:pStyle w:val="777"/>
              <w:jc w:val="center"/>
              <w:rPr>
                <w:color w:val="000000"/>
                <w:sz w:val="24"/>
                <w:highlight w:val="none"/>
              </w:rPr>
            </w:pPr>
            <w:r>
              <w:rPr>
                <w:color w:val="000000"/>
                <w:sz w:val="24"/>
                <w:highlight w:val="none"/>
              </w:rPr>
            </w:r>
            <w:r/>
          </w:p>
        </w:tc>
        <w:tc>
          <w:tcPr>
            <w:tcW w:w="2458" w:type="dxa"/>
            <w:vAlign w:val="center"/>
            <w:textDirection w:val="lrTb"/>
            <w:noWrap w:val="false"/>
          </w:tcPr>
          <w:p>
            <w:pPr>
              <w:pStyle w:val="777"/>
              <w:jc w:val="center"/>
              <w:rPr>
                <w:color w:val="000000"/>
                <w:sz w:val="24"/>
                <w:highlight w:val="none"/>
              </w:rPr>
            </w:pPr>
            <w:r>
              <w:rPr>
                <w:color w:val="000000"/>
                <w:sz w:val="24"/>
                <w:highlight w:val="none"/>
              </w:rPr>
            </w:r>
            <w:r/>
          </w:p>
        </w:tc>
        <w:tc>
          <w:tcPr>
            <w:tcW w:w="788" w:type="dxa"/>
            <w:vAlign w:val="center"/>
            <w:textDirection w:val="lrTb"/>
            <w:noWrap w:val="false"/>
          </w:tcPr>
          <w:p>
            <w:pPr>
              <w:pStyle w:val="77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77"/>
              <w:jc w:val="center"/>
              <w:rPr>
                <w:color w:val="000000"/>
                <w:sz w:val="24"/>
                <w:highlight w:val="none"/>
              </w:rPr>
            </w:pPr>
            <w:r>
              <w:rPr>
                <w:color w:val="000000"/>
                <w:sz w:val="24"/>
                <w:highlight w:val="none"/>
              </w:rPr>
            </w:r>
            <w:r/>
          </w:p>
        </w:tc>
        <w:tc>
          <w:tcPr>
            <w:tcW w:w="1301" w:type="dxa"/>
            <w:vAlign w:val="center"/>
            <w:textDirection w:val="lrTb"/>
            <w:noWrap w:val="false"/>
          </w:tcPr>
          <w:p>
            <w:pPr>
              <w:pStyle w:val="777"/>
              <w:jc w:val="center"/>
              <w:rPr>
                <w:color w:val="000000"/>
                <w:sz w:val="24"/>
                <w:highlight w:val="none"/>
              </w:rPr>
            </w:pPr>
            <w:r>
              <w:rPr>
                <w:color w:val="000000"/>
                <w:sz w:val="24"/>
                <w:highlight w:val="none"/>
              </w:rPr>
            </w:r>
            <w:r/>
          </w:p>
        </w:tc>
        <w:tc>
          <w:tcPr>
            <w:tcW w:w="2007" w:type="dxa"/>
            <w:vAlign w:val="center"/>
            <w:textDirection w:val="lrTb"/>
            <w:noWrap w:val="false"/>
          </w:tcPr>
          <w:p>
            <w:pPr>
              <w:pStyle w:val="777"/>
              <w:jc w:val="center"/>
              <w:rPr>
                <w:color w:val="000000"/>
                <w:sz w:val="24"/>
                <w:highlight w:val="none"/>
              </w:rPr>
            </w:pPr>
            <w:r>
              <w:rPr>
                <w:color w:val="000000"/>
                <w:sz w:val="24"/>
                <w:highlight w:val="none"/>
              </w:rPr>
            </w:r>
            <w:r/>
          </w:p>
        </w:tc>
        <w:tc>
          <w:tcPr>
            <w:tcW w:w="2008" w:type="dxa"/>
            <w:vAlign w:val="center"/>
            <w:textDirection w:val="lrTb"/>
            <w:noWrap w:val="false"/>
          </w:tcPr>
          <w:p>
            <w:pPr>
              <w:pStyle w:val="777"/>
              <w:jc w:val="center"/>
              <w:rPr>
                <w:color w:val="000000"/>
                <w:sz w:val="24"/>
                <w:highlight w:val="none"/>
              </w:rPr>
            </w:pPr>
            <w:r>
              <w:rPr>
                <w:color w:val="000000"/>
                <w:sz w:val="24"/>
                <w:highlight w:val="none"/>
              </w:rPr>
            </w:r>
            <w:r/>
          </w:p>
        </w:tc>
        <w:tc>
          <w:tcPr>
            <w:tcW w:w="2458" w:type="dxa"/>
            <w:vAlign w:val="center"/>
            <w:textDirection w:val="lrTb"/>
            <w:noWrap w:val="false"/>
          </w:tcPr>
          <w:p>
            <w:pPr>
              <w:pStyle w:val="777"/>
              <w:jc w:val="center"/>
              <w:rPr>
                <w:color w:val="000000"/>
                <w:sz w:val="24"/>
                <w:highlight w:val="none"/>
              </w:rPr>
            </w:pPr>
            <w:r>
              <w:rPr>
                <w:color w:val="000000"/>
                <w:sz w:val="24"/>
                <w:highlight w:val="none"/>
              </w:rPr>
            </w:r>
            <w:r/>
          </w:p>
        </w:tc>
        <w:tc>
          <w:tcPr>
            <w:tcW w:w="788" w:type="dxa"/>
            <w:vAlign w:val="center"/>
            <w:textDirection w:val="lrTb"/>
            <w:noWrap w:val="false"/>
          </w:tcPr>
          <w:p>
            <w:pPr>
              <w:pStyle w:val="77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77"/>
              <w:jc w:val="center"/>
              <w:rPr>
                <w:color w:val="000000"/>
                <w:sz w:val="24"/>
                <w:highlight w:val="none"/>
              </w:rPr>
            </w:pPr>
            <w:r>
              <w:rPr>
                <w:color w:val="000000"/>
                <w:sz w:val="24"/>
                <w:highlight w:val="none"/>
              </w:rPr>
            </w:r>
            <w:r/>
          </w:p>
        </w:tc>
        <w:tc>
          <w:tcPr>
            <w:tcW w:w="1301" w:type="dxa"/>
            <w:vAlign w:val="center"/>
            <w:textDirection w:val="lrTb"/>
            <w:noWrap w:val="false"/>
          </w:tcPr>
          <w:p>
            <w:pPr>
              <w:pStyle w:val="777"/>
              <w:jc w:val="center"/>
              <w:rPr>
                <w:color w:val="000000"/>
                <w:sz w:val="24"/>
                <w:highlight w:val="none"/>
              </w:rPr>
            </w:pPr>
            <w:r>
              <w:rPr>
                <w:color w:val="000000"/>
                <w:sz w:val="24"/>
                <w:highlight w:val="none"/>
              </w:rPr>
            </w:r>
            <w:r/>
          </w:p>
        </w:tc>
        <w:tc>
          <w:tcPr>
            <w:tcW w:w="2007" w:type="dxa"/>
            <w:vAlign w:val="center"/>
            <w:textDirection w:val="lrTb"/>
            <w:noWrap w:val="false"/>
          </w:tcPr>
          <w:p>
            <w:pPr>
              <w:pStyle w:val="777"/>
              <w:jc w:val="center"/>
              <w:rPr>
                <w:color w:val="000000"/>
                <w:sz w:val="24"/>
                <w:highlight w:val="none"/>
              </w:rPr>
            </w:pPr>
            <w:r>
              <w:rPr>
                <w:color w:val="000000"/>
                <w:sz w:val="24"/>
                <w:highlight w:val="none"/>
              </w:rPr>
            </w:r>
            <w:r/>
          </w:p>
        </w:tc>
        <w:tc>
          <w:tcPr>
            <w:tcW w:w="2008" w:type="dxa"/>
            <w:vAlign w:val="center"/>
            <w:textDirection w:val="lrTb"/>
            <w:noWrap w:val="false"/>
          </w:tcPr>
          <w:p>
            <w:pPr>
              <w:pStyle w:val="777"/>
              <w:jc w:val="center"/>
              <w:rPr>
                <w:color w:val="000000"/>
                <w:sz w:val="24"/>
                <w:highlight w:val="none"/>
              </w:rPr>
            </w:pPr>
            <w:r>
              <w:rPr>
                <w:color w:val="000000"/>
                <w:sz w:val="24"/>
                <w:highlight w:val="none"/>
              </w:rPr>
            </w:r>
            <w:r/>
          </w:p>
        </w:tc>
        <w:tc>
          <w:tcPr>
            <w:tcW w:w="2458" w:type="dxa"/>
            <w:vAlign w:val="center"/>
            <w:textDirection w:val="lrTb"/>
            <w:noWrap w:val="false"/>
          </w:tcPr>
          <w:p>
            <w:pPr>
              <w:pStyle w:val="777"/>
              <w:jc w:val="center"/>
              <w:rPr>
                <w:color w:val="000000"/>
                <w:sz w:val="24"/>
                <w:highlight w:val="none"/>
              </w:rPr>
            </w:pPr>
            <w:r>
              <w:rPr>
                <w:color w:val="000000"/>
                <w:sz w:val="24"/>
                <w:highlight w:val="none"/>
              </w:rPr>
            </w:r>
            <w:r/>
          </w:p>
        </w:tc>
        <w:tc>
          <w:tcPr>
            <w:tcW w:w="788" w:type="dxa"/>
            <w:vAlign w:val="center"/>
            <w:textDirection w:val="lrTb"/>
            <w:noWrap w:val="false"/>
          </w:tcPr>
          <w:p>
            <w:pPr>
              <w:pStyle w:val="77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77"/>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77"/>
              <w:jc w:val="center"/>
              <w:rPr>
                <w:color w:val="000000"/>
                <w:sz w:val="24"/>
                <w:highlight w:val="none"/>
              </w:rPr>
            </w:pPr>
            <w:r>
              <w:rPr>
                <w:color w:val="000000"/>
                <w:sz w:val="24"/>
                <w:highlight w:val="none"/>
              </w:rPr>
            </w:r>
            <w:r/>
          </w:p>
        </w:tc>
        <w:tc>
          <w:tcPr>
            <w:tcW w:w="2007" w:type="dxa"/>
            <w:vAlign w:val="center"/>
            <w:textDirection w:val="lrTb"/>
            <w:noWrap w:val="false"/>
          </w:tcPr>
          <w:p>
            <w:pPr>
              <w:pStyle w:val="777"/>
              <w:jc w:val="center"/>
              <w:rPr>
                <w:color w:val="000000"/>
                <w:sz w:val="24"/>
                <w:highlight w:val="none"/>
              </w:rPr>
            </w:pPr>
            <w:r>
              <w:rPr>
                <w:color w:val="000000"/>
                <w:sz w:val="24"/>
                <w:highlight w:val="none"/>
              </w:rPr>
            </w:r>
            <w:r/>
          </w:p>
        </w:tc>
        <w:tc>
          <w:tcPr>
            <w:tcW w:w="2008" w:type="dxa"/>
            <w:vAlign w:val="center"/>
            <w:textDirection w:val="lrTb"/>
            <w:noWrap w:val="false"/>
          </w:tcPr>
          <w:p>
            <w:pPr>
              <w:pStyle w:val="777"/>
              <w:jc w:val="center"/>
              <w:rPr>
                <w:color w:val="000000"/>
                <w:sz w:val="24"/>
                <w:highlight w:val="none"/>
              </w:rPr>
            </w:pPr>
            <w:r>
              <w:rPr>
                <w:color w:val="000000"/>
                <w:sz w:val="24"/>
                <w:highlight w:val="none"/>
              </w:rPr>
            </w:r>
            <w:r/>
          </w:p>
        </w:tc>
        <w:tc>
          <w:tcPr>
            <w:tcW w:w="2458" w:type="dxa"/>
            <w:vAlign w:val="center"/>
            <w:textDirection w:val="lrTb"/>
            <w:noWrap w:val="false"/>
          </w:tcPr>
          <w:p>
            <w:pPr>
              <w:pStyle w:val="777"/>
              <w:jc w:val="center"/>
              <w:rPr>
                <w:color w:val="000000"/>
                <w:sz w:val="24"/>
                <w:highlight w:val="none"/>
              </w:rPr>
            </w:pPr>
            <w:r>
              <w:rPr>
                <w:color w:val="000000"/>
                <w:sz w:val="24"/>
                <w:highlight w:val="none"/>
              </w:rPr>
            </w:r>
            <w:r/>
          </w:p>
        </w:tc>
        <w:tc>
          <w:tcPr>
            <w:tcW w:w="788" w:type="dxa"/>
            <w:vAlign w:val="center"/>
            <w:textDirection w:val="lrTb"/>
            <w:noWrap w:val="false"/>
          </w:tcPr>
          <w:p>
            <w:pPr>
              <w:pStyle w:val="777"/>
              <w:jc w:val="center"/>
              <w:rPr>
                <w:color w:val="000000"/>
                <w:sz w:val="24"/>
                <w:highlight w:val="none"/>
              </w:rPr>
            </w:pPr>
            <w:r>
              <w:rPr>
                <w:color w:val="000000"/>
                <w:sz w:val="24"/>
                <w:highlight w:val="none"/>
              </w:rPr>
            </w:r>
            <w:r/>
          </w:p>
        </w:tc>
      </w:tr>
    </w:tbl>
    <w:p>
      <w:pPr>
        <w:pStyle w:val="777"/>
        <w:jc w:val="left"/>
        <w:tabs>
          <w:tab w:val="left" w:pos="1800" w:leader="none"/>
          <w:tab w:val="left" w:pos="5580" w:leader="none"/>
        </w:tabs>
        <w:rPr>
          <w:color w:val="000000"/>
          <w:sz w:val="24"/>
          <w:highlight w:val="none"/>
        </w:rPr>
      </w:pPr>
      <w:r>
        <w:rPr>
          <w:color w:val="000000"/>
          <w:sz w:val="24"/>
          <w:highlight w:val="none"/>
        </w:rPr>
      </w:r>
      <w:r/>
    </w:p>
    <w:p>
      <w:pPr>
        <w:pStyle w:val="77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77"/>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777"/>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777"/>
        <w:spacing w:line="360" w:lineRule="auto"/>
        <w:rPr>
          <w:color w:val="000000"/>
          <w:sz w:val="24"/>
          <w:szCs w:val="20"/>
          <w:highlight w:val="none"/>
        </w:rPr>
      </w:pPr>
      <w:r>
        <w:rPr>
          <w:color w:val="000000"/>
          <w:sz w:val="24"/>
          <w:szCs w:val="20"/>
          <w:highlight w:val="none"/>
        </w:rPr>
      </w:r>
      <w:r/>
    </w:p>
    <w:p>
      <w:pPr>
        <w:pStyle w:val="777"/>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7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7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77"/>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color w:val="000000"/>
          <w:sz w:val="24"/>
          <w:szCs w:val="20"/>
          <w:highlight w:val="none"/>
        </w:rPr>
        <w:t xml:space="preserve">采购需求偏离表（实质性格式）</w:t>
      </w:r>
      <w:r>
        <w:rPr>
          <w:color w:val="000000"/>
          <w:sz w:val="24"/>
          <w:szCs w:val="20"/>
          <w:highlight w:val="none"/>
        </w:rPr>
      </w:r>
      <w:r/>
    </w:p>
    <w:p>
      <w:pPr>
        <w:pStyle w:val="777"/>
        <w:jc w:val="center"/>
        <w:spacing w:line="360" w:lineRule="auto"/>
        <w:rPr>
          <w:rFonts w:hint="eastAsia"/>
          <w:b/>
          <w:color w:val="000000"/>
          <w:sz w:val="36"/>
          <w:szCs w:val="36"/>
          <w:highlight w:val="none"/>
        </w:rPr>
      </w:pPr>
      <w:r>
        <w:rPr>
          <w:rFonts w:hint="eastAsia"/>
          <w:b/>
          <w:color w:val="000000"/>
          <w:sz w:val="36"/>
          <w:szCs w:val="36"/>
          <w:highlight w:val="none"/>
        </w:rPr>
      </w:r>
      <w:r/>
    </w:p>
    <w:p>
      <w:pPr>
        <w:pStyle w:val="777"/>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777"/>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777"/>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777"/>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777"/>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777"/>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777"/>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77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777"/>
              <w:jc w:val="center"/>
              <w:rPr>
                <w:color w:val="000000"/>
                <w:sz w:val="24"/>
                <w:highlight w:val="none"/>
              </w:rPr>
            </w:pPr>
            <w:r>
              <w:rPr>
                <w:color w:val="000000"/>
                <w:sz w:val="24"/>
                <w:highlight w:val="none"/>
              </w:rPr>
            </w:r>
            <w:r/>
          </w:p>
        </w:tc>
        <w:tc>
          <w:tcPr>
            <w:tcW w:w="1482" w:type="dxa"/>
            <w:vAlign w:val="center"/>
            <w:textDirection w:val="lrTb"/>
            <w:noWrap w:val="false"/>
          </w:tcPr>
          <w:p>
            <w:pPr>
              <w:pStyle w:val="777"/>
              <w:jc w:val="center"/>
              <w:rPr>
                <w:color w:val="000000"/>
                <w:sz w:val="24"/>
                <w:highlight w:val="none"/>
              </w:rPr>
            </w:pPr>
            <w:r>
              <w:rPr>
                <w:color w:val="000000"/>
                <w:sz w:val="24"/>
                <w:highlight w:val="none"/>
              </w:rPr>
            </w:r>
            <w:r/>
          </w:p>
        </w:tc>
        <w:tc>
          <w:tcPr>
            <w:tcW w:w="2384" w:type="dxa"/>
            <w:vAlign w:val="center"/>
            <w:textDirection w:val="lrTb"/>
            <w:noWrap w:val="false"/>
          </w:tcPr>
          <w:p>
            <w:pPr>
              <w:pStyle w:val="777"/>
              <w:jc w:val="center"/>
              <w:rPr>
                <w:color w:val="000000"/>
                <w:sz w:val="24"/>
                <w:highlight w:val="none"/>
              </w:rPr>
            </w:pPr>
            <w:r>
              <w:rPr>
                <w:color w:val="000000"/>
                <w:sz w:val="24"/>
                <w:highlight w:val="none"/>
              </w:rPr>
            </w:r>
            <w:r/>
          </w:p>
        </w:tc>
        <w:tc>
          <w:tcPr>
            <w:tcW w:w="2126" w:type="dxa"/>
            <w:vAlign w:val="center"/>
            <w:textDirection w:val="lrTb"/>
            <w:noWrap w:val="false"/>
          </w:tcPr>
          <w:p>
            <w:pPr>
              <w:pStyle w:val="777"/>
              <w:jc w:val="center"/>
              <w:rPr>
                <w:color w:val="000000"/>
                <w:sz w:val="24"/>
                <w:highlight w:val="none"/>
              </w:rPr>
            </w:pPr>
            <w:r>
              <w:rPr>
                <w:color w:val="000000"/>
                <w:sz w:val="24"/>
                <w:highlight w:val="none"/>
              </w:rPr>
            </w:r>
            <w:r/>
          </w:p>
        </w:tc>
        <w:tc>
          <w:tcPr>
            <w:tcW w:w="1875" w:type="dxa"/>
            <w:vAlign w:val="center"/>
            <w:textDirection w:val="lrTb"/>
            <w:noWrap w:val="false"/>
          </w:tcPr>
          <w:p>
            <w:pPr>
              <w:pStyle w:val="777"/>
              <w:jc w:val="center"/>
              <w:rPr>
                <w:color w:val="000000"/>
                <w:sz w:val="24"/>
                <w:highlight w:val="none"/>
              </w:rPr>
            </w:pPr>
            <w:r>
              <w:rPr>
                <w:color w:val="000000"/>
                <w:sz w:val="24"/>
                <w:highlight w:val="none"/>
              </w:rPr>
            </w:r>
            <w:r/>
          </w:p>
        </w:tc>
        <w:tc>
          <w:tcPr>
            <w:tcW w:w="1009" w:type="dxa"/>
            <w:vAlign w:val="center"/>
            <w:textDirection w:val="lrTb"/>
            <w:noWrap w:val="false"/>
          </w:tcPr>
          <w:p>
            <w:pPr>
              <w:pStyle w:val="77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77"/>
              <w:jc w:val="center"/>
              <w:rPr>
                <w:color w:val="000000"/>
                <w:sz w:val="24"/>
                <w:highlight w:val="none"/>
              </w:rPr>
            </w:pPr>
            <w:r>
              <w:rPr>
                <w:color w:val="000000"/>
                <w:sz w:val="24"/>
                <w:highlight w:val="none"/>
              </w:rPr>
            </w:r>
            <w:r/>
          </w:p>
        </w:tc>
        <w:tc>
          <w:tcPr>
            <w:tcW w:w="1482" w:type="dxa"/>
            <w:vAlign w:val="center"/>
            <w:textDirection w:val="lrTb"/>
            <w:noWrap w:val="false"/>
          </w:tcPr>
          <w:p>
            <w:pPr>
              <w:pStyle w:val="777"/>
              <w:jc w:val="center"/>
              <w:rPr>
                <w:color w:val="000000"/>
                <w:sz w:val="24"/>
                <w:highlight w:val="none"/>
              </w:rPr>
            </w:pPr>
            <w:r>
              <w:rPr>
                <w:color w:val="000000"/>
                <w:sz w:val="24"/>
                <w:highlight w:val="none"/>
              </w:rPr>
            </w:r>
            <w:r/>
          </w:p>
        </w:tc>
        <w:tc>
          <w:tcPr>
            <w:tcW w:w="2384" w:type="dxa"/>
            <w:vAlign w:val="center"/>
            <w:textDirection w:val="lrTb"/>
            <w:noWrap w:val="false"/>
          </w:tcPr>
          <w:p>
            <w:pPr>
              <w:pStyle w:val="777"/>
              <w:jc w:val="center"/>
              <w:rPr>
                <w:color w:val="000000"/>
                <w:sz w:val="24"/>
                <w:highlight w:val="none"/>
              </w:rPr>
            </w:pPr>
            <w:r>
              <w:rPr>
                <w:color w:val="000000"/>
                <w:sz w:val="24"/>
                <w:highlight w:val="none"/>
              </w:rPr>
            </w:r>
            <w:r/>
          </w:p>
        </w:tc>
        <w:tc>
          <w:tcPr>
            <w:tcW w:w="2126" w:type="dxa"/>
            <w:vAlign w:val="center"/>
            <w:textDirection w:val="lrTb"/>
            <w:noWrap w:val="false"/>
          </w:tcPr>
          <w:p>
            <w:pPr>
              <w:pStyle w:val="777"/>
              <w:jc w:val="center"/>
              <w:rPr>
                <w:color w:val="000000"/>
                <w:sz w:val="24"/>
                <w:highlight w:val="none"/>
              </w:rPr>
            </w:pPr>
            <w:r>
              <w:rPr>
                <w:color w:val="000000"/>
                <w:sz w:val="24"/>
                <w:highlight w:val="none"/>
              </w:rPr>
            </w:r>
            <w:r/>
          </w:p>
        </w:tc>
        <w:tc>
          <w:tcPr>
            <w:tcW w:w="1875" w:type="dxa"/>
            <w:vAlign w:val="center"/>
            <w:textDirection w:val="lrTb"/>
            <w:noWrap w:val="false"/>
          </w:tcPr>
          <w:p>
            <w:pPr>
              <w:pStyle w:val="777"/>
              <w:jc w:val="center"/>
              <w:rPr>
                <w:color w:val="000000"/>
                <w:sz w:val="24"/>
                <w:highlight w:val="none"/>
              </w:rPr>
            </w:pPr>
            <w:r>
              <w:rPr>
                <w:color w:val="000000"/>
                <w:sz w:val="24"/>
                <w:highlight w:val="none"/>
              </w:rPr>
            </w:r>
            <w:r/>
          </w:p>
        </w:tc>
        <w:tc>
          <w:tcPr>
            <w:tcW w:w="1009" w:type="dxa"/>
            <w:vAlign w:val="center"/>
            <w:textDirection w:val="lrTb"/>
            <w:noWrap w:val="false"/>
          </w:tcPr>
          <w:p>
            <w:pPr>
              <w:pStyle w:val="77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77"/>
              <w:jc w:val="center"/>
              <w:rPr>
                <w:color w:val="000000"/>
                <w:sz w:val="24"/>
                <w:highlight w:val="none"/>
              </w:rPr>
            </w:pPr>
            <w:r>
              <w:rPr>
                <w:color w:val="000000"/>
                <w:sz w:val="24"/>
                <w:highlight w:val="none"/>
              </w:rPr>
            </w:r>
            <w:r/>
          </w:p>
        </w:tc>
        <w:tc>
          <w:tcPr>
            <w:tcW w:w="1482" w:type="dxa"/>
            <w:vAlign w:val="center"/>
            <w:textDirection w:val="lrTb"/>
            <w:noWrap w:val="false"/>
          </w:tcPr>
          <w:p>
            <w:pPr>
              <w:pStyle w:val="777"/>
              <w:jc w:val="center"/>
              <w:rPr>
                <w:color w:val="000000"/>
                <w:sz w:val="24"/>
                <w:highlight w:val="none"/>
              </w:rPr>
            </w:pPr>
            <w:r>
              <w:rPr>
                <w:color w:val="000000"/>
                <w:sz w:val="24"/>
                <w:highlight w:val="none"/>
              </w:rPr>
            </w:r>
            <w:r/>
          </w:p>
        </w:tc>
        <w:tc>
          <w:tcPr>
            <w:tcW w:w="2384" w:type="dxa"/>
            <w:vAlign w:val="center"/>
            <w:textDirection w:val="lrTb"/>
            <w:noWrap w:val="false"/>
          </w:tcPr>
          <w:p>
            <w:pPr>
              <w:pStyle w:val="777"/>
              <w:jc w:val="center"/>
              <w:rPr>
                <w:color w:val="000000"/>
                <w:sz w:val="24"/>
                <w:highlight w:val="none"/>
              </w:rPr>
            </w:pPr>
            <w:r>
              <w:rPr>
                <w:color w:val="000000"/>
                <w:sz w:val="24"/>
                <w:highlight w:val="none"/>
              </w:rPr>
            </w:r>
            <w:r/>
          </w:p>
        </w:tc>
        <w:tc>
          <w:tcPr>
            <w:tcW w:w="2126" w:type="dxa"/>
            <w:vAlign w:val="center"/>
            <w:textDirection w:val="lrTb"/>
            <w:noWrap w:val="false"/>
          </w:tcPr>
          <w:p>
            <w:pPr>
              <w:pStyle w:val="777"/>
              <w:jc w:val="center"/>
              <w:rPr>
                <w:color w:val="000000"/>
                <w:sz w:val="24"/>
                <w:highlight w:val="none"/>
              </w:rPr>
            </w:pPr>
            <w:r>
              <w:rPr>
                <w:color w:val="000000"/>
                <w:sz w:val="24"/>
                <w:highlight w:val="none"/>
              </w:rPr>
            </w:r>
            <w:r/>
          </w:p>
        </w:tc>
        <w:tc>
          <w:tcPr>
            <w:tcW w:w="1875" w:type="dxa"/>
            <w:vAlign w:val="center"/>
            <w:textDirection w:val="lrTb"/>
            <w:noWrap w:val="false"/>
          </w:tcPr>
          <w:p>
            <w:pPr>
              <w:pStyle w:val="777"/>
              <w:jc w:val="center"/>
              <w:rPr>
                <w:color w:val="000000"/>
                <w:sz w:val="24"/>
                <w:highlight w:val="none"/>
              </w:rPr>
            </w:pPr>
            <w:r>
              <w:rPr>
                <w:color w:val="000000"/>
                <w:sz w:val="24"/>
                <w:highlight w:val="none"/>
              </w:rPr>
            </w:r>
            <w:r/>
          </w:p>
        </w:tc>
        <w:tc>
          <w:tcPr>
            <w:tcW w:w="1009" w:type="dxa"/>
            <w:vAlign w:val="center"/>
            <w:textDirection w:val="lrTb"/>
            <w:noWrap w:val="false"/>
          </w:tcPr>
          <w:p>
            <w:pPr>
              <w:pStyle w:val="77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77"/>
              <w:jc w:val="center"/>
              <w:rPr>
                <w:color w:val="000000"/>
                <w:sz w:val="24"/>
                <w:highlight w:val="none"/>
              </w:rPr>
            </w:pPr>
            <w:r>
              <w:rPr>
                <w:color w:val="000000"/>
                <w:sz w:val="24"/>
                <w:highlight w:val="none"/>
              </w:rPr>
            </w:r>
            <w:r/>
          </w:p>
        </w:tc>
        <w:tc>
          <w:tcPr>
            <w:tcW w:w="1482" w:type="dxa"/>
            <w:vAlign w:val="center"/>
            <w:textDirection w:val="lrTb"/>
            <w:noWrap w:val="false"/>
          </w:tcPr>
          <w:p>
            <w:pPr>
              <w:pStyle w:val="777"/>
              <w:jc w:val="center"/>
              <w:rPr>
                <w:color w:val="000000"/>
                <w:sz w:val="24"/>
                <w:highlight w:val="none"/>
              </w:rPr>
            </w:pPr>
            <w:r>
              <w:rPr>
                <w:color w:val="000000"/>
                <w:sz w:val="24"/>
                <w:highlight w:val="none"/>
              </w:rPr>
            </w:r>
            <w:r/>
          </w:p>
        </w:tc>
        <w:tc>
          <w:tcPr>
            <w:tcW w:w="2384" w:type="dxa"/>
            <w:vAlign w:val="center"/>
            <w:textDirection w:val="lrTb"/>
            <w:noWrap w:val="false"/>
          </w:tcPr>
          <w:p>
            <w:pPr>
              <w:pStyle w:val="777"/>
              <w:jc w:val="center"/>
              <w:rPr>
                <w:color w:val="000000"/>
                <w:sz w:val="24"/>
                <w:highlight w:val="none"/>
              </w:rPr>
            </w:pPr>
            <w:r>
              <w:rPr>
                <w:color w:val="000000"/>
                <w:sz w:val="24"/>
                <w:highlight w:val="none"/>
              </w:rPr>
            </w:r>
            <w:r/>
          </w:p>
        </w:tc>
        <w:tc>
          <w:tcPr>
            <w:tcW w:w="2126" w:type="dxa"/>
            <w:vAlign w:val="center"/>
            <w:textDirection w:val="lrTb"/>
            <w:noWrap w:val="false"/>
          </w:tcPr>
          <w:p>
            <w:pPr>
              <w:pStyle w:val="777"/>
              <w:jc w:val="center"/>
              <w:rPr>
                <w:color w:val="000000"/>
                <w:sz w:val="24"/>
                <w:highlight w:val="none"/>
              </w:rPr>
            </w:pPr>
            <w:r>
              <w:rPr>
                <w:color w:val="000000"/>
                <w:sz w:val="24"/>
                <w:highlight w:val="none"/>
              </w:rPr>
            </w:r>
            <w:r/>
          </w:p>
        </w:tc>
        <w:tc>
          <w:tcPr>
            <w:tcW w:w="1875" w:type="dxa"/>
            <w:vAlign w:val="center"/>
            <w:textDirection w:val="lrTb"/>
            <w:noWrap w:val="false"/>
          </w:tcPr>
          <w:p>
            <w:pPr>
              <w:pStyle w:val="777"/>
              <w:jc w:val="center"/>
              <w:rPr>
                <w:color w:val="000000"/>
                <w:sz w:val="24"/>
                <w:highlight w:val="none"/>
              </w:rPr>
            </w:pPr>
            <w:r>
              <w:rPr>
                <w:color w:val="000000"/>
                <w:sz w:val="24"/>
                <w:highlight w:val="none"/>
              </w:rPr>
            </w:r>
            <w:r/>
          </w:p>
        </w:tc>
        <w:tc>
          <w:tcPr>
            <w:tcW w:w="1009" w:type="dxa"/>
            <w:vAlign w:val="center"/>
            <w:textDirection w:val="lrTb"/>
            <w:noWrap w:val="false"/>
          </w:tcPr>
          <w:p>
            <w:pPr>
              <w:pStyle w:val="77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77"/>
              <w:jc w:val="center"/>
              <w:rPr>
                <w:color w:val="000000"/>
                <w:sz w:val="24"/>
                <w:highlight w:val="none"/>
              </w:rPr>
            </w:pPr>
            <w:r>
              <w:rPr>
                <w:color w:val="000000"/>
                <w:sz w:val="24"/>
                <w:highlight w:val="none"/>
              </w:rPr>
            </w:r>
            <w:r/>
          </w:p>
        </w:tc>
        <w:tc>
          <w:tcPr>
            <w:tcW w:w="1482" w:type="dxa"/>
            <w:vAlign w:val="center"/>
            <w:textDirection w:val="lrTb"/>
            <w:noWrap w:val="false"/>
          </w:tcPr>
          <w:p>
            <w:pPr>
              <w:pStyle w:val="777"/>
              <w:jc w:val="center"/>
              <w:rPr>
                <w:color w:val="000000"/>
                <w:sz w:val="24"/>
                <w:highlight w:val="none"/>
              </w:rPr>
            </w:pPr>
            <w:r>
              <w:rPr>
                <w:color w:val="000000"/>
                <w:sz w:val="24"/>
                <w:highlight w:val="none"/>
              </w:rPr>
            </w:r>
            <w:r/>
          </w:p>
        </w:tc>
        <w:tc>
          <w:tcPr>
            <w:tcW w:w="2384" w:type="dxa"/>
            <w:vAlign w:val="center"/>
            <w:textDirection w:val="lrTb"/>
            <w:noWrap w:val="false"/>
          </w:tcPr>
          <w:p>
            <w:pPr>
              <w:pStyle w:val="777"/>
              <w:jc w:val="center"/>
              <w:rPr>
                <w:color w:val="000000"/>
                <w:sz w:val="24"/>
                <w:highlight w:val="none"/>
              </w:rPr>
            </w:pPr>
            <w:r>
              <w:rPr>
                <w:color w:val="000000"/>
                <w:sz w:val="24"/>
                <w:highlight w:val="none"/>
              </w:rPr>
            </w:r>
            <w:r/>
          </w:p>
        </w:tc>
        <w:tc>
          <w:tcPr>
            <w:tcW w:w="2126" w:type="dxa"/>
            <w:vAlign w:val="center"/>
            <w:textDirection w:val="lrTb"/>
            <w:noWrap w:val="false"/>
          </w:tcPr>
          <w:p>
            <w:pPr>
              <w:pStyle w:val="777"/>
              <w:jc w:val="center"/>
              <w:rPr>
                <w:color w:val="000000"/>
                <w:sz w:val="24"/>
                <w:highlight w:val="none"/>
              </w:rPr>
            </w:pPr>
            <w:r>
              <w:rPr>
                <w:color w:val="000000"/>
                <w:sz w:val="24"/>
                <w:highlight w:val="none"/>
              </w:rPr>
            </w:r>
            <w:r/>
          </w:p>
        </w:tc>
        <w:tc>
          <w:tcPr>
            <w:tcW w:w="1875" w:type="dxa"/>
            <w:vAlign w:val="center"/>
            <w:textDirection w:val="lrTb"/>
            <w:noWrap w:val="false"/>
          </w:tcPr>
          <w:p>
            <w:pPr>
              <w:pStyle w:val="777"/>
              <w:jc w:val="center"/>
              <w:rPr>
                <w:color w:val="000000"/>
                <w:sz w:val="24"/>
                <w:highlight w:val="none"/>
              </w:rPr>
            </w:pPr>
            <w:r>
              <w:rPr>
                <w:color w:val="000000"/>
                <w:sz w:val="24"/>
                <w:highlight w:val="none"/>
              </w:rPr>
            </w:r>
            <w:r/>
          </w:p>
        </w:tc>
        <w:tc>
          <w:tcPr>
            <w:tcW w:w="1009" w:type="dxa"/>
            <w:vAlign w:val="center"/>
            <w:textDirection w:val="lrTb"/>
            <w:noWrap w:val="false"/>
          </w:tcPr>
          <w:p>
            <w:pPr>
              <w:pStyle w:val="77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77"/>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777"/>
              <w:jc w:val="center"/>
              <w:rPr>
                <w:color w:val="000000"/>
                <w:sz w:val="24"/>
                <w:highlight w:val="none"/>
              </w:rPr>
            </w:pPr>
            <w:r>
              <w:rPr>
                <w:color w:val="000000"/>
                <w:sz w:val="24"/>
                <w:highlight w:val="none"/>
              </w:rPr>
            </w:r>
            <w:r/>
          </w:p>
        </w:tc>
        <w:tc>
          <w:tcPr>
            <w:tcW w:w="2384" w:type="dxa"/>
            <w:vAlign w:val="center"/>
            <w:textDirection w:val="lrTb"/>
            <w:noWrap w:val="false"/>
          </w:tcPr>
          <w:p>
            <w:pPr>
              <w:pStyle w:val="777"/>
              <w:jc w:val="center"/>
              <w:rPr>
                <w:color w:val="000000"/>
                <w:sz w:val="24"/>
                <w:highlight w:val="none"/>
              </w:rPr>
            </w:pPr>
            <w:r>
              <w:rPr>
                <w:color w:val="000000"/>
                <w:sz w:val="24"/>
                <w:highlight w:val="none"/>
              </w:rPr>
            </w:r>
            <w:r/>
          </w:p>
        </w:tc>
        <w:tc>
          <w:tcPr>
            <w:tcW w:w="2126" w:type="dxa"/>
            <w:vAlign w:val="center"/>
            <w:textDirection w:val="lrTb"/>
            <w:noWrap w:val="false"/>
          </w:tcPr>
          <w:p>
            <w:pPr>
              <w:pStyle w:val="777"/>
              <w:jc w:val="center"/>
              <w:rPr>
                <w:color w:val="000000"/>
                <w:sz w:val="24"/>
                <w:highlight w:val="none"/>
              </w:rPr>
            </w:pPr>
            <w:r>
              <w:rPr>
                <w:color w:val="000000"/>
                <w:sz w:val="24"/>
                <w:highlight w:val="none"/>
              </w:rPr>
            </w:r>
            <w:r/>
          </w:p>
        </w:tc>
        <w:tc>
          <w:tcPr>
            <w:tcW w:w="1875" w:type="dxa"/>
            <w:vAlign w:val="center"/>
            <w:textDirection w:val="lrTb"/>
            <w:noWrap w:val="false"/>
          </w:tcPr>
          <w:p>
            <w:pPr>
              <w:pStyle w:val="777"/>
              <w:jc w:val="center"/>
              <w:rPr>
                <w:color w:val="000000"/>
                <w:sz w:val="24"/>
                <w:highlight w:val="none"/>
              </w:rPr>
            </w:pPr>
            <w:r>
              <w:rPr>
                <w:color w:val="000000"/>
                <w:sz w:val="24"/>
                <w:highlight w:val="none"/>
              </w:rPr>
            </w:r>
            <w:r/>
          </w:p>
        </w:tc>
        <w:tc>
          <w:tcPr>
            <w:tcW w:w="1009" w:type="dxa"/>
            <w:vAlign w:val="center"/>
            <w:textDirection w:val="lrTb"/>
            <w:noWrap w:val="false"/>
          </w:tcPr>
          <w:p>
            <w:pPr>
              <w:pStyle w:val="777"/>
              <w:jc w:val="center"/>
              <w:rPr>
                <w:color w:val="000000"/>
                <w:sz w:val="24"/>
                <w:highlight w:val="none"/>
              </w:rPr>
            </w:pPr>
            <w:r>
              <w:rPr>
                <w:color w:val="000000"/>
                <w:sz w:val="24"/>
                <w:highlight w:val="none"/>
              </w:rPr>
            </w:r>
            <w:r/>
          </w:p>
        </w:tc>
      </w:tr>
    </w:tbl>
    <w:p>
      <w:pPr>
        <w:pStyle w:val="777"/>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7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77"/>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rPr>
          <w:sz w:val="24"/>
          <w:highlight w:val="none"/>
        </w:rPr>
      </w:r>
      <w:r/>
    </w:p>
    <w:p>
      <w:pPr>
        <w:pStyle w:val="777"/>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777"/>
        <w:jc w:val="left"/>
        <w:tabs>
          <w:tab w:val="left" w:pos="1800" w:leader="none"/>
          <w:tab w:val="left" w:pos="5580" w:leader="none"/>
        </w:tabs>
        <w:rPr>
          <w:sz w:val="24"/>
          <w:highlight w:val="none"/>
        </w:rPr>
      </w:pPr>
      <w:r>
        <w:rPr>
          <w:sz w:val="24"/>
          <w:highlight w:val="none"/>
        </w:rPr>
      </w:r>
      <w:r/>
    </w:p>
    <w:p>
      <w:pPr>
        <w:pStyle w:val="777"/>
        <w:jc w:val="left"/>
        <w:tabs>
          <w:tab w:val="left" w:pos="1800" w:leader="none"/>
          <w:tab w:val="left" w:pos="5580" w:leader="none"/>
        </w:tabs>
        <w:rPr>
          <w:color w:val="000000"/>
          <w:sz w:val="24"/>
          <w:highlight w:val="none"/>
        </w:rPr>
      </w:pPr>
      <w:r>
        <w:rPr>
          <w:color w:val="000000"/>
          <w:sz w:val="24"/>
          <w:highlight w:val="none"/>
        </w:rPr>
      </w:r>
      <w:r/>
    </w:p>
    <w:p>
      <w:pPr>
        <w:pStyle w:val="777"/>
        <w:rPr>
          <w:color w:val="000000"/>
          <w:sz w:val="24"/>
          <w:szCs w:val="20"/>
          <w:highlight w:val="none"/>
        </w:rPr>
      </w:pPr>
      <w:r>
        <w:rPr>
          <w:color w:val="000000"/>
          <w:sz w:val="24"/>
          <w:szCs w:val="20"/>
          <w:highlight w:val="none"/>
        </w:rPr>
      </w:r>
      <w:r/>
    </w:p>
    <w:p>
      <w:pPr>
        <w:pStyle w:val="777"/>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7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7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77"/>
        <w:ind w:right="1560"/>
        <w:jc w:val="both"/>
        <w:spacing w:line="588" w:lineRule="exact"/>
        <w:tabs>
          <w:tab w:val="left" w:pos="4860" w:leader="none"/>
        </w:tabs>
        <w:rPr>
          <w:spacing w:val="6"/>
          <w:sz w:val="24"/>
          <w:highlight w:val="none"/>
        </w:rPr>
      </w:pPr>
      <w:r>
        <w:rPr>
          <w:spacing w:val="6"/>
          <w:sz w:val="24"/>
          <w:highlight w:val="none"/>
        </w:rPr>
      </w:r>
      <w:r/>
    </w:p>
    <w:p>
      <w:pPr>
        <w:pStyle w:val="777"/>
        <w:spacing w:line="360" w:lineRule="auto"/>
        <w:rPr>
          <w:b/>
          <w:color w:val="000000"/>
          <w:sz w:val="24"/>
          <w:highlight w:val="none"/>
        </w:rPr>
        <w:outlineLvl w:val="2"/>
      </w:pPr>
      <w:r>
        <w:rPr>
          <w:b/>
          <w:color w:val="000000"/>
          <w:sz w:val="24"/>
          <w:highlight w:val="none"/>
        </w:rPr>
      </w:r>
      <w:r/>
    </w:p>
    <w:p>
      <w:pPr>
        <w:pStyle w:val="777"/>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777"/>
        <w:ind w:firstLine="480"/>
        <w:spacing w:line="560" w:lineRule="exact"/>
        <w:rPr>
          <w:color w:val="000000"/>
          <w:sz w:val="24"/>
          <w:szCs w:val="20"/>
          <w:highlight w:val="none"/>
        </w:rPr>
      </w:pPr>
      <w:r>
        <w:rPr>
          <w:rFonts w:hint="eastAsia"/>
          <w:color w:val="000000"/>
          <w:sz w:val="24"/>
          <w:szCs w:val="20"/>
          <w:highlight w:val="none"/>
        </w:rPr>
        <w:t xml:space="preserve">1）</w:t>
      </w:r>
      <w:r>
        <w:rPr>
          <w:rFonts w:hint="eastAsia" w:ascii="Times New Roman" w:hAnsi="Times New Roman" w:eastAsia="宋体" w:cs="Times New Roman"/>
          <w:color w:val="000000"/>
          <w:sz w:val="24"/>
          <w:szCs w:val="20"/>
          <w:highlight w:val="none"/>
        </w:rPr>
        <w:t xml:space="preserve">响应方案</w:t>
      </w:r>
      <w:r>
        <w:rPr>
          <w:rFonts w:hint="eastAsia"/>
          <w:color w:val="000000"/>
          <w:sz w:val="24"/>
          <w:szCs w:val="20"/>
          <w:highlight w:val="none"/>
        </w:rPr>
        <w:t xml:space="preserve">；</w:t>
      </w:r>
      <w:r>
        <w:rPr>
          <w:color w:val="000000"/>
          <w:sz w:val="24"/>
          <w:szCs w:val="20"/>
          <w:highlight w:val="none"/>
        </w:rPr>
      </w:r>
      <w:r/>
    </w:p>
    <w:p>
      <w:pPr>
        <w:pStyle w:val="777"/>
        <w:ind w:firstLine="480"/>
        <w:spacing w:line="560" w:lineRule="exact"/>
        <w:rPr>
          <w:color w:val="000000"/>
          <w:sz w:val="24"/>
          <w:szCs w:val="20"/>
          <w:highlight w:val="none"/>
        </w:rPr>
      </w:pPr>
      <w:r>
        <w:rPr>
          <w:rFonts w:hint="eastAsia"/>
          <w:color w:val="000000"/>
          <w:sz w:val="24"/>
          <w:szCs w:val="20"/>
          <w:highlight w:val="none"/>
        </w:rPr>
        <w:t xml:space="preserve">2）</w:t>
      </w:r>
      <w:r>
        <w:rPr>
          <w:rFonts w:hint="eastAsia" w:ascii="Times New Roman" w:hAnsi="Times New Roman" w:eastAsia="宋体" w:cs="Times New Roman"/>
          <w:color w:val="000000"/>
          <w:sz w:val="24"/>
          <w:szCs w:val="20"/>
          <w:highlight w:val="none"/>
        </w:rPr>
        <w:t xml:space="preserve">质量进度方案</w:t>
      </w:r>
      <w:r>
        <w:rPr>
          <w:rFonts w:hint="eastAsia"/>
          <w:color w:val="000000"/>
          <w:sz w:val="24"/>
          <w:szCs w:val="20"/>
          <w:highlight w:val="none"/>
        </w:rPr>
        <w:t xml:space="preserve">；</w:t>
      </w:r>
      <w:r>
        <w:rPr>
          <w:color w:val="000000"/>
          <w:sz w:val="24"/>
          <w:szCs w:val="20"/>
          <w:highlight w:val="none"/>
        </w:rPr>
      </w:r>
      <w:r/>
    </w:p>
    <w:p>
      <w:pPr>
        <w:pStyle w:val="777"/>
        <w:ind w:firstLine="480"/>
        <w:spacing w:line="560" w:lineRule="exact"/>
        <w:rPr>
          <w:color w:val="000000"/>
          <w:sz w:val="24"/>
          <w:szCs w:val="20"/>
          <w:highlight w:val="none"/>
        </w:rPr>
      </w:pPr>
      <w:r>
        <w:rPr>
          <w:rFonts w:hint="eastAsia"/>
          <w:color w:val="000000"/>
          <w:sz w:val="24"/>
          <w:szCs w:val="20"/>
          <w:highlight w:val="none"/>
        </w:rPr>
        <w:t xml:space="preserve">3）</w:t>
      </w:r>
      <w:r>
        <w:rPr>
          <w:rFonts w:hint="eastAsia" w:ascii="Times New Roman" w:hAnsi="Times New Roman" w:eastAsia="宋体" w:cs="Times New Roman"/>
          <w:color w:val="000000"/>
          <w:sz w:val="24"/>
          <w:szCs w:val="20"/>
          <w:highlight w:val="none"/>
        </w:rPr>
        <w:t xml:space="preserve">项目重点、难点分析</w:t>
      </w:r>
      <w:r>
        <w:rPr>
          <w:rFonts w:hint="eastAsia"/>
          <w:color w:val="000000"/>
          <w:sz w:val="24"/>
          <w:szCs w:val="20"/>
          <w:highlight w:val="none"/>
        </w:rPr>
        <w:t xml:space="preserve">；</w:t>
      </w:r>
      <w:r>
        <w:rPr>
          <w:color w:val="000000"/>
          <w:sz w:val="24"/>
          <w:szCs w:val="20"/>
          <w:highlight w:val="none"/>
        </w:rPr>
      </w:r>
      <w:r/>
    </w:p>
    <w:p>
      <w:pPr>
        <w:pStyle w:val="777"/>
        <w:ind w:firstLine="480"/>
        <w:spacing w:line="560" w:lineRule="exact"/>
        <w:rPr>
          <w:color w:val="000000"/>
          <w:sz w:val="24"/>
          <w:szCs w:val="20"/>
          <w:highlight w:val="none"/>
        </w:rPr>
      </w:pPr>
      <w:r>
        <w:rPr>
          <w:rFonts w:hint="eastAsia"/>
          <w:color w:val="000000"/>
          <w:sz w:val="24"/>
          <w:szCs w:val="20"/>
          <w:highlight w:val="none"/>
        </w:rPr>
        <w:t xml:space="preserve">4）</w:t>
      </w:r>
      <w:r>
        <w:rPr>
          <w:rFonts w:hint="eastAsia" w:ascii="Times New Roman" w:hAnsi="Times New Roman" w:eastAsia="宋体" w:cs="Times New Roman"/>
          <w:color w:val="000000"/>
          <w:sz w:val="24"/>
          <w:szCs w:val="20"/>
          <w:highlight w:val="none"/>
        </w:rPr>
        <w:t xml:space="preserve">人员配备方案</w:t>
      </w:r>
      <w:r>
        <w:rPr>
          <w:rFonts w:hint="eastAsia"/>
          <w:color w:val="000000"/>
          <w:sz w:val="24"/>
          <w:szCs w:val="20"/>
          <w:highlight w:val="none"/>
        </w:rPr>
        <w:t xml:space="preserve">；</w:t>
      </w:r>
      <w:r>
        <w:rPr>
          <w:color w:val="000000"/>
          <w:sz w:val="24"/>
          <w:szCs w:val="20"/>
          <w:highlight w:val="none"/>
        </w:rPr>
      </w:r>
      <w:r/>
    </w:p>
    <w:p>
      <w:pPr>
        <w:pStyle w:val="777"/>
        <w:ind w:firstLine="480"/>
        <w:spacing w:line="560" w:lineRule="exact"/>
        <w:rPr>
          <w:rFonts w:hint="eastAsia"/>
          <w:color w:val="000000"/>
          <w:sz w:val="24"/>
          <w:szCs w:val="20"/>
          <w:highlight w:val="none"/>
        </w:rPr>
      </w:pPr>
      <w:r>
        <w:rPr>
          <w:rFonts w:hint="eastAsia"/>
          <w:color w:val="000000"/>
          <w:sz w:val="24"/>
          <w:szCs w:val="20"/>
          <w:highlight w:val="none"/>
        </w:rPr>
        <w:t xml:space="preserve">5）</w:t>
      </w:r>
      <w:r>
        <w:rPr>
          <w:rFonts w:hint="eastAsia" w:ascii="Times New Roman" w:hAnsi="Times New Roman" w:eastAsia="宋体" w:cs="Times New Roman"/>
          <w:color w:val="000000"/>
          <w:sz w:val="24"/>
          <w:szCs w:val="20"/>
          <w:highlight w:val="none"/>
        </w:rPr>
        <w:t xml:space="preserve">合理化建议</w:t>
      </w:r>
      <w:r>
        <w:rPr>
          <w:rFonts w:hint="eastAsia"/>
          <w:color w:val="000000"/>
          <w:sz w:val="24"/>
          <w:szCs w:val="20"/>
          <w:highlight w:val="none"/>
        </w:rPr>
        <w:t xml:space="preserve">；</w:t>
      </w:r>
      <w:r>
        <w:rPr>
          <w:rFonts w:hint="eastAsia"/>
          <w:color w:val="000000"/>
          <w:sz w:val="24"/>
          <w:szCs w:val="20"/>
          <w:highlight w:val="none"/>
        </w:rPr>
      </w:r>
      <w:r/>
    </w:p>
    <w:p>
      <w:pPr>
        <w:pStyle w:val="777"/>
        <w:ind w:firstLine="480"/>
        <w:spacing w:line="560" w:lineRule="exact"/>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6</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t xml:space="preserve">后续服务</w:t>
      </w:r>
      <w:r>
        <w:rPr>
          <w:rFonts w:hint="eastAsia" w:ascii="Times New Roman" w:hAnsi="Times New Roman" w:eastAsia="宋体" w:cs="Times New Roman"/>
          <w:color w:val="000000"/>
          <w:sz w:val="24"/>
          <w:szCs w:val="20"/>
          <w:highlight w:val="none"/>
          <w:lang w:val="en-US" w:eastAsia="zh-CN"/>
        </w:rPr>
        <w:t xml:space="preserve">；</w:t>
      </w:r>
      <w:r>
        <w:rPr>
          <w:rFonts w:hint="eastAsia" w:ascii="Times New Roman" w:hAnsi="Times New Roman" w:eastAsia="宋体" w:cs="Times New Roman"/>
          <w:color w:val="000000"/>
          <w:sz w:val="24"/>
          <w:szCs w:val="20"/>
          <w:highlight w:val="none"/>
          <w:lang w:val="en-US" w:eastAsia="zh-CN"/>
        </w:rPr>
      </w:r>
      <w:r/>
    </w:p>
    <w:p>
      <w:pPr>
        <w:pStyle w:val="777"/>
        <w:ind w:firstLine="480"/>
        <w:spacing w:line="560" w:lineRule="exact"/>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7）监测响应承诺书；</w:t>
      </w:r>
      <w:r>
        <w:rPr>
          <w:rFonts w:ascii="Times New Roman" w:hAnsi="Times New Roman" w:eastAsia="宋体" w:cs="Times New Roman"/>
          <w:color w:val="000000"/>
          <w:sz w:val="24"/>
          <w:szCs w:val="20"/>
          <w:highlight w:val="none"/>
          <w:lang w:val="en-US" w:eastAsia="zh-CN"/>
        </w:rPr>
      </w:r>
      <w:r/>
    </w:p>
    <w:p>
      <w:pPr>
        <w:pStyle w:val="777"/>
        <w:ind w:firstLine="480"/>
        <w:spacing w:line="560" w:lineRule="exact"/>
        <w:rPr>
          <w:rFonts w:hint="eastAsia" w:ascii="Times New Roman" w:hAnsi="Times New Roman" w:eastAsia="宋体" w:cs="Times New Roman"/>
          <w:color w:val="000000"/>
          <w:sz w:val="24"/>
          <w:szCs w:val="20"/>
          <w:highlight w:val="none"/>
          <w:lang w:eastAsia="zh-CN"/>
        </w:rPr>
      </w:pPr>
      <w:r>
        <w:rPr>
          <w:rFonts w:hint="eastAsia" w:ascii="Times New Roman" w:hAnsi="Times New Roman" w:eastAsia="宋体" w:cs="Times New Roman"/>
          <w:color w:val="000000"/>
          <w:sz w:val="24"/>
          <w:szCs w:val="20"/>
          <w:highlight w:val="none"/>
          <w:lang w:val="en-US" w:eastAsia="zh-CN"/>
        </w:rPr>
        <w:t xml:space="preserve">8</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sz w:val="24"/>
          <w:highlight w:val="none"/>
        </w:rPr>
        <w:t xml:space="preserve">监测人员、设备响应承诺书</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eastAsia="zh-CN"/>
        </w:rPr>
      </w:r>
      <w:r/>
    </w:p>
    <w:p>
      <w:pPr>
        <w:pStyle w:val="777"/>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9</w:t>
      </w:r>
      <w:r>
        <w:rPr>
          <w:rFonts w:hint="eastAsia" w:ascii="Times New Roman" w:hAnsi="Times New Roman" w:eastAsia="宋体" w:cs="Times New Roman"/>
          <w:color w:val="000000"/>
          <w:sz w:val="24"/>
          <w:szCs w:val="20"/>
          <w:highlight w:val="none"/>
        </w:rPr>
        <w:t xml:space="preserve">）其他。</w:t>
      </w:r>
      <w:r>
        <w:rPr>
          <w:rFonts w:hint="eastAsia" w:ascii="Times New Roman" w:hAnsi="Times New Roman" w:eastAsia="宋体" w:cs="Times New Roman"/>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rPr>
          <w:color w:val="000000"/>
          <w:sz w:val="24"/>
          <w:szCs w:val="20"/>
          <w:highlight w:val="none"/>
        </w:rPr>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8</w:t>
      </w:r>
      <w:r>
        <w:rPr>
          <w:rFonts w:hint="eastAsia"/>
          <w:color w:val="000000"/>
          <w:sz w:val="24"/>
          <w:szCs w:val="20"/>
          <w:highlight w:val="none"/>
        </w:rPr>
        <w:t xml:space="preserve">  参加本项目人员一览表</w:t>
      </w:r>
      <w:r>
        <w:rPr>
          <w:color w:val="000000"/>
          <w:sz w:val="24"/>
          <w:szCs w:val="20"/>
          <w:highlight w:val="none"/>
        </w:rPr>
      </w:r>
      <w:r/>
    </w:p>
    <w:p>
      <w:pPr>
        <w:pStyle w:val="777"/>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7"/>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777"/>
        <w:spacing w:line="360" w:lineRule="auto"/>
        <w:rPr>
          <w:rFonts w:ascii="宋体" w:hAnsi="宋体"/>
          <w:sz w:val="22"/>
          <w:highlight w:val="none"/>
        </w:rPr>
      </w:pPr>
      <w:r>
        <w:rPr>
          <w:rFonts w:ascii="宋体" w:hAnsi="宋体"/>
          <w:sz w:val="22"/>
          <w:highlight w:val="none"/>
        </w:rPr>
      </w:r>
      <w:r/>
    </w:p>
    <w:p>
      <w:pPr>
        <w:pStyle w:val="777"/>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7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777"/>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777"/>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777"/>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777"/>
        <w:spacing w:line="360" w:lineRule="auto"/>
        <w:rPr>
          <w:rFonts w:ascii="宋体" w:hAnsi="宋体"/>
          <w:sz w:val="24"/>
          <w:highlight w:val="none"/>
        </w:rPr>
      </w:pPr>
      <w:r>
        <w:rPr>
          <w:rFonts w:ascii="宋体" w:hAnsi="宋体"/>
          <w:sz w:val="24"/>
          <w:highlight w:val="none"/>
        </w:rPr>
      </w:r>
      <w:r/>
    </w:p>
    <w:p>
      <w:pPr>
        <w:pStyle w:val="77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7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77"/>
        <w:rPr>
          <w:rFonts w:hint="eastAsia"/>
          <w:sz w:val="22"/>
          <w:highlight w:val="none"/>
        </w:rPr>
      </w:pPr>
      <w:r>
        <w:rPr>
          <w:sz w:val="22"/>
          <w:highlight w:val="none"/>
        </w:rPr>
        <w:br w:type="page" w:clear="all"/>
      </w:r>
      <w:bookmarkStart w:id="900" w:name="_Toc288738397"/>
      <w:r/>
      <w:bookmarkStart w:id="901" w:name="_Toc288738839"/>
      <w:r>
        <w:rPr>
          <w:rFonts w:hint="eastAsia"/>
          <w:sz w:val="22"/>
          <w:highlight w:val="none"/>
        </w:rPr>
      </w:r>
      <w:r/>
    </w:p>
    <w:p>
      <w:pPr>
        <w:pStyle w:val="777"/>
        <w:rPr>
          <w:rFonts w:hint="eastAsia" w:eastAsia="宋体"/>
          <w:color w:val="000000"/>
          <w:sz w:val="24"/>
          <w:szCs w:val="20"/>
          <w:highlight w:val="none"/>
          <w:lang w:eastAsia="zh-CN"/>
        </w:rPr>
      </w:pPr>
      <w:r>
        <w:rPr>
          <w:rFonts w:hint="eastAsia"/>
          <w:color w:val="000000"/>
          <w:sz w:val="24"/>
          <w:szCs w:val="20"/>
          <w:highlight w:val="none"/>
          <w:lang w:val="en-US" w:eastAsia="zh-CN"/>
        </w:rPr>
        <w:t xml:space="preserve">9</w:t>
      </w:r>
      <w:r>
        <w:rPr>
          <w:rFonts w:hint="eastAsia"/>
          <w:color w:val="000000"/>
          <w:sz w:val="24"/>
          <w:szCs w:val="20"/>
          <w:highlight w:val="none"/>
        </w:rPr>
        <w:t xml:space="preserve">  相关业绩案例一览表</w:t>
      </w:r>
      <w:r>
        <w:rPr>
          <w:rFonts w:hint="eastAsia" w:eastAsia="宋体"/>
          <w:color w:val="000000"/>
          <w:sz w:val="24"/>
          <w:szCs w:val="20"/>
          <w:highlight w:val="none"/>
          <w:lang w:eastAsia="zh-CN"/>
        </w:rPr>
      </w:r>
      <w:r/>
    </w:p>
    <w:p>
      <w:pPr>
        <w:pStyle w:val="777"/>
        <w:rPr>
          <w:color w:val="000000"/>
          <w:sz w:val="24"/>
          <w:szCs w:val="20"/>
          <w:highlight w:val="none"/>
        </w:rPr>
      </w:pPr>
      <w:r>
        <w:rPr>
          <w:color w:val="000000"/>
          <w:sz w:val="24"/>
          <w:szCs w:val="20"/>
          <w:highlight w:val="none"/>
        </w:rPr>
      </w:r>
      <w:r/>
    </w:p>
    <w:p>
      <w:pPr>
        <w:pStyle w:val="777"/>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0"/>
      <w:r/>
      <w:bookmarkEnd w:id="901"/>
      <w:r>
        <w:rPr>
          <w:rFonts w:ascii="宋体" w:hAnsi="宋体"/>
          <w:b/>
          <w:sz w:val="32"/>
          <w:szCs w:val="32"/>
          <w:highlight w:val="none"/>
        </w:rPr>
      </w:r>
      <w:r/>
    </w:p>
    <w:p>
      <w:pPr>
        <w:pStyle w:val="777"/>
        <w:jc w:val="center"/>
        <w:spacing w:line="360" w:lineRule="auto"/>
        <w:rPr>
          <w:rFonts w:ascii="宋体" w:hAnsi="宋体"/>
          <w:b/>
          <w:sz w:val="28"/>
          <w:szCs w:val="30"/>
          <w:highlight w:val="none"/>
        </w:rPr>
      </w:pPr>
      <w:r>
        <w:rPr>
          <w:rFonts w:ascii="宋体" w:hAnsi="宋体"/>
          <w:b/>
          <w:sz w:val="28"/>
          <w:szCs w:val="30"/>
          <w:highlight w:val="none"/>
        </w:rPr>
      </w:r>
      <w:r/>
    </w:p>
    <w:p>
      <w:pPr>
        <w:pStyle w:val="777"/>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7"/>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7"/>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7"/>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7"/>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7"/>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777"/>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777"/>
        <w:spacing w:line="360" w:lineRule="auto"/>
        <w:rPr>
          <w:rFonts w:ascii="宋体" w:hAnsi="宋体" w:cs="宋体"/>
          <w:sz w:val="24"/>
          <w:highlight w:val="none"/>
        </w:rPr>
      </w:pPr>
      <w:r>
        <w:rPr>
          <w:rFonts w:ascii="宋体" w:hAnsi="宋体" w:cs="宋体"/>
          <w:sz w:val="24"/>
          <w:highlight w:val="none"/>
        </w:rPr>
      </w:r>
      <w:r/>
    </w:p>
    <w:p>
      <w:pPr>
        <w:pStyle w:val="77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7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77"/>
        <w:rPr>
          <w:highlight w:val="none"/>
        </w:rPr>
      </w:pPr>
      <w:r>
        <w:rPr>
          <w:highlight w:val="none"/>
        </w:rPr>
      </w:r>
      <w:r/>
    </w:p>
    <w:p>
      <w:pPr>
        <w:pStyle w:val="777"/>
        <w:rPr>
          <w:highlight w:val="none"/>
        </w:rPr>
      </w:pPr>
      <w:r>
        <w:rPr>
          <w:highlight w:val="none"/>
        </w:rPr>
      </w:r>
      <w:r/>
    </w:p>
    <w:p>
      <w:pPr>
        <w:pStyle w:val="777"/>
        <w:rPr>
          <w:highlight w:val="none"/>
        </w:rPr>
      </w:pPr>
      <w:r>
        <w:rPr>
          <w:highlight w:val="none"/>
        </w:rPr>
      </w:r>
      <w:r/>
    </w:p>
    <w:p>
      <w:pPr>
        <w:pStyle w:val="777"/>
        <w:rPr>
          <w:highlight w:val="none"/>
        </w:rPr>
      </w:pPr>
      <w:r>
        <w:rPr>
          <w:highlight w:val="none"/>
        </w:rPr>
      </w:r>
      <w:r/>
    </w:p>
    <w:p>
      <w:pPr>
        <w:pStyle w:val="777"/>
        <w:rPr>
          <w:highlight w:val="none"/>
        </w:rPr>
      </w:pPr>
      <w:r>
        <w:rPr>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rFonts w:hint="eastAsia"/>
          <w:color w:val="000000"/>
          <w:sz w:val="24"/>
          <w:szCs w:val="20"/>
          <w:highlight w:val="none"/>
        </w:rPr>
        <w:outlineLvl w:val="2"/>
      </w:pPr>
      <w:r>
        <w:rPr>
          <w:rFonts w:hint="eastAsia"/>
          <w:color w:val="000000"/>
          <w:sz w:val="24"/>
          <w:szCs w:val="20"/>
          <w:highlight w:val="none"/>
        </w:rPr>
      </w:r>
      <w:r/>
    </w:p>
    <w:p>
      <w:pPr>
        <w:pStyle w:val="777"/>
        <w:spacing w:line="360" w:lineRule="auto"/>
        <w:rPr>
          <w:b/>
          <w:color w:val="000000"/>
          <w:sz w:val="24"/>
          <w:highlight w:val="none"/>
        </w:rPr>
      </w:pPr>
      <w:r>
        <w:rPr>
          <w:b/>
          <w:color w:val="000000"/>
          <w:sz w:val="24"/>
          <w:highlight w:val="none"/>
        </w:rPr>
      </w:r>
      <w:r/>
    </w:p>
    <w:p>
      <w:pPr>
        <w:pStyle w:val="777"/>
        <w:spacing w:line="360" w:lineRule="auto"/>
        <w:rPr>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0</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777"/>
        <w:jc w:val="left"/>
        <w:widowControl/>
        <w:rPr>
          <w:b/>
          <w:sz w:val="36"/>
          <w:szCs w:val="36"/>
          <w:highlight w:val="none"/>
        </w:rPr>
      </w:pPr>
      <w:r>
        <w:rPr>
          <w:b/>
          <w:sz w:val="36"/>
          <w:szCs w:val="36"/>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rPr>
        <w:rStyle w:val="850"/>
      </w:rPr>
      <w:framePr w:wrap="around" w:vAnchor="text" w:hAnchor="margin" w:xAlign="right" w:y="1"/>
    </w:pPr>
    <w:r>
      <w:rPr>
        <w:rStyle w:val="850"/>
      </w:rPr>
    </w:r>
    <w:r/>
  </w:p>
  <w:p>
    <w:pPr>
      <w:pStyle w:val="825"/>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rPr>
        <w:rStyle w:val="850"/>
      </w:rPr>
      <w:framePr w:wrap="around" w:vAnchor="text" w:hAnchor="margin" w:xAlign="right" w:y="1"/>
    </w:pPr>
    <w:r>
      <w:rPr>
        <w:rStyle w:val="850"/>
      </w:rPr>
      <w:fldChar w:fldCharType="begin"/>
    </w:r>
    <w:r>
      <w:rPr>
        <w:rStyle w:val="850"/>
      </w:rPr>
      <w:instrText xml:space="preserve">PAGE  </w:instrText>
    </w:r>
    <w:r>
      <w:rPr>
        <w:rStyle w:val="850"/>
      </w:rPr>
      <w:fldChar w:fldCharType="end"/>
    </w:r>
    <w:r>
      <w:rPr>
        <w:rStyle w:val="850"/>
      </w:rPr>
    </w:r>
    <w:r/>
  </w:p>
  <w:p>
    <w:pPr>
      <w:pStyle w:val="825"/>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rPr>
        <w:rStyle w:val="850"/>
      </w:rPr>
      <w:framePr w:wrap="around" w:vAnchor="text" w:hAnchor="margin" w:xAlign="right" w:y="1"/>
    </w:pPr>
    <w:r>
      <w:rPr>
        <w:rStyle w:val="850"/>
      </w:rPr>
      <w:fldChar w:fldCharType="begin"/>
    </w:r>
    <w:r>
      <w:rPr>
        <w:rStyle w:val="850"/>
      </w:rPr>
      <w:instrText xml:space="preserve">PAGE  </w:instrText>
    </w:r>
    <w:r>
      <w:rPr>
        <w:rStyle w:val="850"/>
      </w:rPr>
      <w:fldChar w:fldCharType="end"/>
    </w:r>
    <w:r>
      <w:rPr>
        <w:rStyle w:val="850"/>
      </w:rPr>
    </w:r>
    <w:r/>
  </w:p>
  <w:p>
    <w:pPr>
      <w:pStyle w:val="825"/>
      <w:ind w:right="360"/>
      <w:tabs>
        <w:tab w:val="center" w:pos="4153" w:leader="none"/>
        <w:tab w:val="right" w:pos="8306" w:leader="none"/>
      </w:tabs>
    </w:pPr>
    <w:r/>
    <w:r/>
  </w:p>
  <w:p>
    <w:pPr>
      <w:pStyle w:val="77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
  </w:p>
  <w:p>
    <w:pPr>
      <w:pStyle w:val="77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77"/>
        <w:ind w:left="4941" w:hanging="1140"/>
        <w:tabs>
          <w:tab w:val="num" w:pos="4941" w:leader="none"/>
        </w:tabs>
      </w:pPr>
      <w:rPr>
        <w:rFonts w:hint="eastAsia"/>
      </w:rPr>
    </w:lvl>
    <w:lvl w:ilvl="1">
      <w:start w:val="1"/>
      <w:numFmt w:val="lowerLetter"/>
      <w:isLgl w:val="false"/>
      <w:suff w:val="tab"/>
      <w:lvlText w:val="%2)"/>
      <w:lvlJc w:val="left"/>
      <w:pPr>
        <w:pStyle w:val="777"/>
        <w:ind w:left="4641" w:hanging="420"/>
        <w:tabs>
          <w:tab w:val="num" w:pos="4641" w:leader="none"/>
        </w:tabs>
      </w:pPr>
    </w:lvl>
    <w:lvl w:ilvl="2">
      <w:start w:val="1"/>
      <w:numFmt w:val="lowerRoman"/>
      <w:isLgl w:val="false"/>
      <w:suff w:val="tab"/>
      <w:lvlText w:val="%3."/>
      <w:lvlJc w:val="right"/>
      <w:pPr>
        <w:pStyle w:val="777"/>
        <w:ind w:left="5061" w:hanging="420"/>
        <w:tabs>
          <w:tab w:val="num" w:pos="5061" w:leader="none"/>
        </w:tabs>
      </w:pPr>
    </w:lvl>
    <w:lvl w:ilvl="3">
      <w:start w:val="1"/>
      <w:numFmt w:val="decimal"/>
      <w:isLgl w:val="false"/>
      <w:suff w:val="tab"/>
      <w:lvlText w:val="%4."/>
      <w:lvlJc w:val="left"/>
      <w:pPr>
        <w:pStyle w:val="777"/>
        <w:ind w:left="5481" w:hanging="420"/>
        <w:tabs>
          <w:tab w:val="num" w:pos="5481" w:leader="none"/>
        </w:tabs>
      </w:pPr>
    </w:lvl>
    <w:lvl w:ilvl="4">
      <w:start w:val="1"/>
      <w:numFmt w:val="lowerLetter"/>
      <w:isLgl w:val="false"/>
      <w:suff w:val="tab"/>
      <w:lvlText w:val="%5)"/>
      <w:lvlJc w:val="left"/>
      <w:pPr>
        <w:pStyle w:val="777"/>
        <w:ind w:left="5901" w:hanging="420"/>
        <w:tabs>
          <w:tab w:val="num" w:pos="5901" w:leader="none"/>
        </w:tabs>
      </w:pPr>
    </w:lvl>
    <w:lvl w:ilvl="5">
      <w:start w:val="1"/>
      <w:numFmt w:val="lowerRoman"/>
      <w:isLgl w:val="false"/>
      <w:suff w:val="tab"/>
      <w:lvlText w:val="%6."/>
      <w:lvlJc w:val="right"/>
      <w:pPr>
        <w:pStyle w:val="777"/>
        <w:ind w:left="6321" w:hanging="420"/>
        <w:tabs>
          <w:tab w:val="num" w:pos="6321" w:leader="none"/>
        </w:tabs>
      </w:pPr>
    </w:lvl>
    <w:lvl w:ilvl="6">
      <w:start w:val="1"/>
      <w:numFmt w:val="decimal"/>
      <w:isLgl w:val="false"/>
      <w:suff w:val="tab"/>
      <w:lvlText w:val="%7."/>
      <w:lvlJc w:val="left"/>
      <w:pPr>
        <w:pStyle w:val="777"/>
        <w:ind w:left="6741" w:hanging="420"/>
        <w:tabs>
          <w:tab w:val="num" w:pos="6741" w:leader="none"/>
        </w:tabs>
      </w:pPr>
    </w:lvl>
    <w:lvl w:ilvl="7">
      <w:start w:val="1"/>
      <w:numFmt w:val="lowerLetter"/>
      <w:isLgl w:val="false"/>
      <w:suff w:val="tab"/>
      <w:lvlText w:val="%8)"/>
      <w:lvlJc w:val="left"/>
      <w:pPr>
        <w:pStyle w:val="777"/>
        <w:ind w:left="7161" w:hanging="420"/>
        <w:tabs>
          <w:tab w:val="num" w:pos="7161" w:leader="none"/>
        </w:tabs>
      </w:pPr>
    </w:lvl>
    <w:lvl w:ilvl="8">
      <w:start w:val="1"/>
      <w:numFmt w:val="lowerRoman"/>
      <w:isLgl w:val="false"/>
      <w:suff w:val="tab"/>
      <w:lvlText w:val="%9."/>
      <w:lvlJc w:val="right"/>
      <w:pPr>
        <w:pStyle w:val="777"/>
        <w:ind w:left="7581" w:hanging="420"/>
        <w:tabs>
          <w:tab w:val="num" w:pos="7581" w:leader="none"/>
        </w:tabs>
      </w:pPr>
    </w:lvl>
  </w:abstractNum>
  <w:abstractNum w:abstractNumId="2">
    <w:multiLevelType w:val="hybridMultilevel"/>
    <w:lvl w:ilvl="0">
      <w:start w:val="1"/>
      <w:numFmt w:val="decimal"/>
      <w:pStyle w:val="889"/>
      <w:isLgl w:val="false"/>
      <w:suff w:val="tab"/>
      <w:lvlText w:val="%1."/>
      <w:lvlJc w:val="left"/>
      <w:pPr>
        <w:pStyle w:val="777"/>
        <w:ind w:left="420" w:hanging="420"/>
      </w:pPr>
    </w:lvl>
    <w:lvl w:ilvl="1">
      <w:start w:val="1"/>
      <w:numFmt w:val="decimal"/>
      <w:isLgl w:val="false"/>
      <w:suff w:val="tab"/>
      <w:lvlText w:val="（%2）"/>
      <w:lvlJc w:val="left"/>
      <w:pPr>
        <w:pStyle w:val="777"/>
        <w:ind w:left="1140" w:hanging="720"/>
        <w:tabs>
          <w:tab w:val="num" w:pos="1140" w:leader="none"/>
        </w:tabs>
      </w:pPr>
      <w:rPr>
        <w:rFonts w:hint="eastAsia"/>
      </w:rPr>
    </w:lvl>
    <w:lvl w:ilvl="2">
      <w:start w:val="1"/>
      <w:numFmt w:val="lowerRoman"/>
      <w:isLgl w:val="false"/>
      <w:suff w:val="tab"/>
      <w:lvlText w:val="%3."/>
      <w:lvlJc w:val="right"/>
      <w:pPr>
        <w:pStyle w:val="777"/>
        <w:ind w:left="1260" w:hanging="420"/>
      </w:pPr>
    </w:lvl>
    <w:lvl w:ilvl="3">
      <w:start w:val="1"/>
      <w:numFmt w:val="decimal"/>
      <w:isLgl w:val="false"/>
      <w:suff w:val="tab"/>
      <w:lvlText w:val="%4."/>
      <w:lvlJc w:val="left"/>
      <w:pPr>
        <w:pStyle w:val="777"/>
        <w:ind w:left="1680" w:hanging="420"/>
      </w:pPr>
    </w:lvl>
    <w:lvl w:ilvl="4">
      <w:start w:val="1"/>
      <w:numFmt w:val="lowerLetter"/>
      <w:isLgl w:val="false"/>
      <w:suff w:val="tab"/>
      <w:lvlText w:val="%5)"/>
      <w:lvlJc w:val="left"/>
      <w:pPr>
        <w:pStyle w:val="777"/>
        <w:ind w:left="2100" w:hanging="420"/>
      </w:pPr>
    </w:lvl>
    <w:lvl w:ilvl="5">
      <w:start w:val="1"/>
      <w:numFmt w:val="lowerRoman"/>
      <w:isLgl w:val="false"/>
      <w:suff w:val="tab"/>
      <w:lvlText w:val="%6."/>
      <w:lvlJc w:val="right"/>
      <w:pPr>
        <w:pStyle w:val="777"/>
        <w:ind w:left="2520" w:hanging="420"/>
      </w:pPr>
    </w:lvl>
    <w:lvl w:ilvl="6">
      <w:start w:val="1"/>
      <w:numFmt w:val="decimal"/>
      <w:isLgl w:val="false"/>
      <w:suff w:val="tab"/>
      <w:lvlText w:val="%7."/>
      <w:lvlJc w:val="left"/>
      <w:pPr>
        <w:pStyle w:val="777"/>
        <w:ind w:left="2940" w:hanging="420"/>
      </w:pPr>
    </w:lvl>
    <w:lvl w:ilvl="7">
      <w:start w:val="1"/>
      <w:numFmt w:val="lowerLetter"/>
      <w:isLgl w:val="false"/>
      <w:suff w:val="tab"/>
      <w:lvlText w:val="%8)"/>
      <w:lvlJc w:val="left"/>
      <w:pPr>
        <w:pStyle w:val="777"/>
        <w:ind w:left="3360" w:hanging="420"/>
      </w:pPr>
    </w:lvl>
    <w:lvl w:ilvl="8">
      <w:start w:val="1"/>
      <w:numFmt w:val="lowerRoman"/>
      <w:isLgl w:val="false"/>
      <w:suff w:val="tab"/>
      <w:lvlText w:val="%9."/>
      <w:lvlJc w:val="right"/>
      <w:pPr>
        <w:pStyle w:val="777"/>
        <w:ind w:left="3780" w:hanging="420"/>
      </w:pPr>
    </w:lvl>
  </w:abstractNum>
  <w:abstractNum w:abstractNumId="3">
    <w:multiLevelType w:val="hybridMultilevel"/>
    <w:lvl w:ilvl="0">
      <w:start w:val="1"/>
      <w:numFmt w:val="lowerLetter"/>
      <w:pStyle w:val="964"/>
      <w:isLgl w:val="false"/>
      <w:suff w:val="tab"/>
      <w:lvlText w:val="%1)"/>
      <w:lvlJc w:val="left"/>
      <w:pPr>
        <w:pStyle w:val="777"/>
        <w:ind w:left="902" w:hanging="420"/>
      </w:pPr>
      <w:rPr>
        <w:color w:val="000000"/>
      </w:rPr>
    </w:lvl>
    <w:lvl w:ilvl="1">
      <w:start w:val="1"/>
      <w:numFmt w:val="lowerLetter"/>
      <w:isLgl w:val="false"/>
      <w:suff w:val="tab"/>
      <w:lvlText w:val="%2)"/>
      <w:lvlJc w:val="left"/>
      <w:pPr>
        <w:pStyle w:val="777"/>
        <w:ind w:left="1322" w:hanging="420"/>
      </w:pPr>
    </w:lvl>
    <w:lvl w:ilvl="2">
      <w:start w:val="1"/>
      <w:numFmt w:val="lowerRoman"/>
      <w:isLgl w:val="false"/>
      <w:suff w:val="tab"/>
      <w:lvlText w:val="%3."/>
      <w:lvlJc w:val="right"/>
      <w:pPr>
        <w:pStyle w:val="777"/>
        <w:ind w:left="1742" w:hanging="420"/>
      </w:pPr>
    </w:lvl>
    <w:lvl w:ilvl="3">
      <w:start w:val="1"/>
      <w:numFmt w:val="decimal"/>
      <w:isLgl w:val="false"/>
      <w:suff w:val="tab"/>
      <w:lvlText w:val="%4."/>
      <w:lvlJc w:val="left"/>
      <w:pPr>
        <w:pStyle w:val="777"/>
        <w:ind w:left="2162" w:hanging="420"/>
      </w:pPr>
    </w:lvl>
    <w:lvl w:ilvl="4">
      <w:start w:val="1"/>
      <w:numFmt w:val="lowerLetter"/>
      <w:isLgl w:val="false"/>
      <w:suff w:val="tab"/>
      <w:lvlText w:val="%5)"/>
      <w:lvlJc w:val="left"/>
      <w:pPr>
        <w:pStyle w:val="777"/>
        <w:ind w:left="2582" w:hanging="420"/>
      </w:pPr>
    </w:lvl>
    <w:lvl w:ilvl="5">
      <w:start w:val="1"/>
      <w:numFmt w:val="lowerRoman"/>
      <w:isLgl w:val="false"/>
      <w:suff w:val="tab"/>
      <w:lvlText w:val="%6."/>
      <w:lvlJc w:val="right"/>
      <w:pPr>
        <w:pStyle w:val="777"/>
        <w:ind w:left="3002" w:hanging="420"/>
      </w:pPr>
    </w:lvl>
    <w:lvl w:ilvl="6">
      <w:start w:val="1"/>
      <w:numFmt w:val="decimal"/>
      <w:isLgl w:val="false"/>
      <w:suff w:val="tab"/>
      <w:lvlText w:val="%7."/>
      <w:lvlJc w:val="left"/>
      <w:pPr>
        <w:pStyle w:val="777"/>
        <w:ind w:left="3422" w:hanging="420"/>
      </w:pPr>
    </w:lvl>
    <w:lvl w:ilvl="7">
      <w:start w:val="1"/>
      <w:numFmt w:val="lowerLetter"/>
      <w:isLgl w:val="false"/>
      <w:suff w:val="tab"/>
      <w:lvlText w:val="%8)"/>
      <w:lvlJc w:val="left"/>
      <w:pPr>
        <w:pStyle w:val="777"/>
        <w:ind w:left="3842" w:hanging="420"/>
      </w:pPr>
    </w:lvl>
    <w:lvl w:ilvl="8">
      <w:start w:val="1"/>
      <w:numFmt w:val="lowerRoman"/>
      <w:isLgl w:val="false"/>
      <w:suff w:val="tab"/>
      <w:lvlText w:val="%9."/>
      <w:lvlJc w:val="right"/>
      <w:pPr>
        <w:pStyle w:val="777"/>
        <w:ind w:left="4262" w:hanging="420"/>
      </w:pPr>
    </w:lvl>
  </w:abstractNum>
  <w:abstractNum w:abstractNumId="4">
    <w:multiLevelType w:val="hybridMultilevel"/>
    <w:lvl w:ilvl="0">
      <w:start w:val="1"/>
      <w:numFmt w:val="decimal"/>
      <w:pStyle w:val="934"/>
      <w:isLgl w:val="false"/>
      <w:suff w:val="tab"/>
      <w:lvlText w:val="%1."/>
      <w:lvlJc w:val="left"/>
      <w:pPr>
        <w:pStyle w:val="77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83"/>
      <w:isLgl w:val="false"/>
      <w:suff w:val="nothing"/>
      <w:lvlText w:val="%1　"/>
      <w:lvlJc w:val="left"/>
      <w:pPr>
        <w:pStyle w:val="77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7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77"/>
        <w:ind w:left="-25" w:firstLine="0"/>
      </w:pPr>
      <w:rPr>
        <w:rFonts w:ascii="Times New Roman" w:hAnsi="Times New Roman" w:eastAsia="黑体"/>
        <w:b/>
        <w:i w:val="0"/>
        <w:sz w:val="28"/>
      </w:rPr>
    </w:lvl>
    <w:lvl w:ilvl="3">
      <w:start w:val="1"/>
      <w:numFmt w:val="decimal"/>
      <w:pStyle w:val="919"/>
      <w:isLgl w:val="false"/>
      <w:suff w:val="nothing"/>
      <w:lvlText w:val="%1.%2.%3.%4　"/>
      <w:lvlJc w:val="left"/>
      <w:pPr>
        <w:pStyle w:val="77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7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77"/>
        <w:ind w:left="-25" w:firstLine="0"/>
      </w:pPr>
      <w:rPr>
        <w:rFonts w:ascii="Times New Roman" w:hAnsi="Times New Roman" w:eastAsia="宋体"/>
        <w:b/>
        <w:i w:val="0"/>
        <w:sz w:val="28"/>
      </w:rPr>
    </w:lvl>
    <w:lvl w:ilvl="6">
      <w:start w:val="1"/>
      <w:numFmt w:val="lowerLetter"/>
      <w:pStyle w:val="940"/>
      <w:isLgl w:val="false"/>
      <w:suff w:val="tab"/>
      <w:lvlText w:val="%7) "/>
      <w:lvlJc w:val="left"/>
      <w:pPr>
        <w:pStyle w:val="777"/>
        <w:ind w:left="-125" w:firstLine="400"/>
        <w:tabs>
          <w:tab w:val="num" w:pos="635" w:leader="none"/>
        </w:tabs>
      </w:pPr>
      <w:rPr>
        <w:rFonts w:ascii="Times New Roman" w:hAnsi="Times New Roman" w:eastAsia="宋体"/>
        <w:b/>
        <w:i w:val="0"/>
        <w:color w:val="000000"/>
        <w:sz w:val="28"/>
        <w:u w:val="none"/>
      </w:rPr>
    </w:lvl>
    <w:lvl w:ilvl="7">
      <w:start w:val="1"/>
      <w:numFmt w:val="decimal"/>
      <w:pStyle w:val="903"/>
      <w:isLgl w:val="false"/>
      <w:suff w:val="tab"/>
      <w:lvlText w:val="%8) "/>
      <w:lvlJc w:val="left"/>
      <w:pPr>
        <w:pStyle w:val="77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77"/>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77"/>
        <w:ind w:left="768" w:hanging="360"/>
        <w:tabs>
          <w:tab w:val="num" w:pos="768" w:leader="none"/>
        </w:tabs>
      </w:pPr>
      <w:rPr>
        <w:rFonts w:hint="eastAsia"/>
      </w:rPr>
    </w:lvl>
    <w:lvl w:ilvl="1">
      <w:start w:val="1"/>
      <w:numFmt w:val="decimal"/>
      <w:pStyle w:val="921"/>
      <w:isLgl w:val="false"/>
      <w:suff w:val="tab"/>
      <w:lvlText w:val="%2、"/>
      <w:lvlJc w:val="left"/>
      <w:pPr>
        <w:pStyle w:val="777"/>
        <w:ind w:left="1188" w:hanging="360"/>
        <w:tabs>
          <w:tab w:val="num" w:pos="1188" w:leader="none"/>
        </w:tabs>
      </w:pPr>
      <w:rPr>
        <w:rFonts w:hint="eastAsia"/>
      </w:rPr>
    </w:lvl>
    <w:lvl w:ilvl="2">
      <w:start w:val="1"/>
      <w:numFmt w:val="decimal"/>
      <w:isLgl w:val="false"/>
      <w:suff w:val="tab"/>
      <w:lvlText w:val="（%3）"/>
      <w:lvlJc w:val="left"/>
      <w:pPr>
        <w:pStyle w:val="777"/>
        <w:ind w:left="1968" w:hanging="720"/>
        <w:tabs>
          <w:tab w:val="num" w:pos="1968" w:leader="none"/>
        </w:tabs>
      </w:pPr>
      <w:rPr>
        <w:rFonts w:hint="eastAsia"/>
        <w:u w:val="none"/>
      </w:rPr>
    </w:lvl>
    <w:lvl w:ilvl="3">
      <w:start w:val="1"/>
      <w:numFmt w:val="decimal"/>
      <w:isLgl w:val="false"/>
      <w:suff w:val="tab"/>
      <w:lvlText w:val="%4."/>
      <w:lvlJc w:val="left"/>
      <w:pPr>
        <w:pStyle w:val="777"/>
        <w:ind w:left="2088" w:hanging="420"/>
        <w:tabs>
          <w:tab w:val="num" w:pos="2088" w:leader="none"/>
        </w:tabs>
      </w:pPr>
    </w:lvl>
    <w:lvl w:ilvl="4">
      <w:start w:val="1"/>
      <w:numFmt w:val="lowerLetter"/>
      <w:isLgl w:val="false"/>
      <w:suff w:val="tab"/>
      <w:lvlText w:val="%5)"/>
      <w:lvlJc w:val="left"/>
      <w:pPr>
        <w:pStyle w:val="777"/>
        <w:ind w:left="2508" w:hanging="420"/>
        <w:tabs>
          <w:tab w:val="num" w:pos="2508" w:leader="none"/>
        </w:tabs>
      </w:pPr>
    </w:lvl>
    <w:lvl w:ilvl="5">
      <w:start w:val="1"/>
      <w:numFmt w:val="lowerRoman"/>
      <w:isLgl w:val="false"/>
      <w:suff w:val="tab"/>
      <w:lvlText w:val="%6."/>
      <w:lvlJc w:val="right"/>
      <w:pPr>
        <w:pStyle w:val="777"/>
        <w:ind w:left="2928" w:hanging="420"/>
        <w:tabs>
          <w:tab w:val="num" w:pos="2928" w:leader="none"/>
        </w:tabs>
      </w:pPr>
    </w:lvl>
    <w:lvl w:ilvl="6">
      <w:start w:val="1"/>
      <w:numFmt w:val="decimal"/>
      <w:isLgl w:val="false"/>
      <w:suff w:val="tab"/>
      <w:lvlText w:val="%7."/>
      <w:lvlJc w:val="left"/>
      <w:pPr>
        <w:pStyle w:val="777"/>
        <w:ind w:left="3348" w:hanging="420"/>
        <w:tabs>
          <w:tab w:val="num" w:pos="3348" w:leader="none"/>
        </w:tabs>
      </w:pPr>
    </w:lvl>
    <w:lvl w:ilvl="7">
      <w:start w:val="1"/>
      <w:numFmt w:val="lowerLetter"/>
      <w:isLgl w:val="false"/>
      <w:suff w:val="tab"/>
      <w:lvlText w:val="%8)"/>
      <w:lvlJc w:val="left"/>
      <w:pPr>
        <w:pStyle w:val="777"/>
        <w:ind w:left="3768" w:hanging="420"/>
        <w:tabs>
          <w:tab w:val="num" w:pos="3768" w:leader="none"/>
        </w:tabs>
      </w:pPr>
    </w:lvl>
    <w:lvl w:ilvl="8">
      <w:start w:val="1"/>
      <w:numFmt w:val="lowerRoman"/>
      <w:isLgl w:val="false"/>
      <w:suff w:val="tab"/>
      <w:lvlText w:val="%9."/>
      <w:lvlJc w:val="right"/>
      <w:pPr>
        <w:pStyle w:val="777"/>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777"/>
        <w:ind w:left="900" w:hanging="900"/>
        <w:tabs>
          <w:tab w:val="num" w:pos="900" w:leader="none"/>
        </w:tabs>
      </w:pPr>
      <w:rPr>
        <w:rFonts w:hint="eastAsia"/>
      </w:rPr>
    </w:lvl>
    <w:lvl w:ilvl="1">
      <w:start w:val="1"/>
      <w:numFmt w:val="decimal"/>
      <w:isLgl w:val="false"/>
      <w:suff w:val="tab"/>
      <w:lvlText w:val="%1.%2"/>
      <w:lvlJc w:val="left"/>
      <w:pPr>
        <w:pStyle w:val="77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7"/>
        <w:ind w:left="1980" w:hanging="900"/>
        <w:tabs>
          <w:tab w:val="num" w:pos="1980" w:leader="none"/>
        </w:tabs>
      </w:pPr>
      <w:rPr>
        <w:rFonts w:hint="eastAsia"/>
      </w:rPr>
    </w:lvl>
    <w:lvl w:ilvl="3">
      <w:start w:val="1"/>
      <w:numFmt w:val="decimal"/>
      <w:isLgl w:val="false"/>
      <w:suff w:val="tab"/>
      <w:lvlText w:val="%1.%2.%3.%4"/>
      <w:lvlJc w:val="left"/>
      <w:pPr>
        <w:pStyle w:val="777"/>
        <w:ind w:left="900" w:hanging="900"/>
        <w:tabs>
          <w:tab w:val="num" w:pos="900" w:leader="none"/>
        </w:tabs>
      </w:pPr>
      <w:rPr>
        <w:rFonts w:hint="eastAsia"/>
      </w:rPr>
    </w:lvl>
    <w:lvl w:ilvl="4">
      <w:start w:val="1"/>
      <w:numFmt w:val="decimal"/>
      <w:isLgl w:val="false"/>
      <w:suff w:val="tab"/>
      <w:lvlText w:val="%1.%2.%3.%4.%5"/>
      <w:lvlJc w:val="left"/>
      <w:pPr>
        <w:pStyle w:val="777"/>
        <w:ind w:left="900" w:hanging="900"/>
        <w:tabs>
          <w:tab w:val="num" w:pos="900" w:leader="none"/>
        </w:tabs>
      </w:pPr>
      <w:rPr>
        <w:rFonts w:hint="eastAsia"/>
      </w:rPr>
    </w:lvl>
    <w:lvl w:ilvl="5">
      <w:start w:val="1"/>
      <w:numFmt w:val="decimal"/>
      <w:isLgl w:val="false"/>
      <w:suff w:val="tab"/>
      <w:lvlText w:val="%1.%2.%3.%4.%5.%6"/>
      <w:lvlJc w:val="left"/>
      <w:pPr>
        <w:pStyle w:val="777"/>
        <w:ind w:left="900" w:hanging="900"/>
        <w:tabs>
          <w:tab w:val="num" w:pos="900" w:leader="none"/>
        </w:tabs>
      </w:pPr>
      <w:rPr>
        <w:rFonts w:hint="eastAsia"/>
      </w:rPr>
    </w:lvl>
    <w:lvl w:ilvl="6">
      <w:start w:val="1"/>
      <w:numFmt w:val="decimal"/>
      <w:isLgl w:val="false"/>
      <w:suff w:val="tab"/>
      <w:lvlText w:val="%1.%2.%3.%4.%5.%6.%7"/>
      <w:lvlJc w:val="left"/>
      <w:pPr>
        <w:pStyle w:val="777"/>
        <w:ind w:left="900" w:hanging="900"/>
        <w:tabs>
          <w:tab w:val="num" w:pos="900" w:leader="none"/>
        </w:tabs>
      </w:pPr>
      <w:rPr>
        <w:rFonts w:hint="eastAsia"/>
      </w:rPr>
    </w:lvl>
    <w:lvl w:ilvl="7">
      <w:start w:val="1"/>
      <w:numFmt w:val="decimal"/>
      <w:isLgl w:val="false"/>
      <w:suff w:val="tab"/>
      <w:lvlText w:val="%1.%2.%3.%4.%5.%6.%7.%8"/>
      <w:lvlJc w:val="left"/>
      <w:pPr>
        <w:pStyle w:val="777"/>
        <w:ind w:left="900" w:hanging="900"/>
        <w:tabs>
          <w:tab w:val="num" w:pos="900" w:leader="none"/>
        </w:tabs>
      </w:pPr>
      <w:rPr>
        <w:rFonts w:hint="eastAsia"/>
      </w:rPr>
    </w:lvl>
    <w:lvl w:ilvl="8">
      <w:start w:val="1"/>
      <w:numFmt w:val="decimal"/>
      <w:isLgl w:val="false"/>
      <w:suff w:val="tab"/>
      <w:lvlText w:val="%1.%2.%3.%4.%5.%6.%7.%8.%9"/>
      <w:lvlJc w:val="left"/>
      <w:pPr>
        <w:pStyle w:val="777"/>
        <w:ind w:left="900" w:hanging="900"/>
        <w:tabs>
          <w:tab w:val="num" w:pos="900" w:leader="none"/>
        </w:tabs>
      </w:pPr>
      <w:rPr>
        <w:rFonts w:hint="eastAsia"/>
      </w:rPr>
    </w:lvl>
  </w:abstractNum>
  <w:abstractNum w:abstractNumId="8">
    <w:multiLevelType w:val="hybridMultilevel"/>
    <w:lvl w:ilvl="0">
      <w:start w:val="1"/>
      <w:numFmt w:val="decimal"/>
      <w:pStyle w:val="888"/>
      <w:isLgl w:val="false"/>
      <w:suff w:val="tab"/>
      <w:lvlText w:val="%1)"/>
      <w:lvlJc w:val="left"/>
      <w:pPr>
        <w:pStyle w:val="777"/>
        <w:ind w:left="420" w:hanging="420"/>
      </w:pPr>
    </w:lvl>
    <w:lvl w:ilvl="1">
      <w:start w:val="1"/>
      <w:numFmt w:val="lowerLetter"/>
      <w:isLgl w:val="false"/>
      <w:suff w:val="tab"/>
      <w:lvlText w:val="%2)"/>
      <w:lvlJc w:val="left"/>
      <w:pPr>
        <w:pStyle w:val="777"/>
        <w:ind w:left="840" w:hanging="420"/>
      </w:pPr>
    </w:lvl>
    <w:lvl w:ilvl="2">
      <w:start w:val="1"/>
      <w:numFmt w:val="lowerRoman"/>
      <w:isLgl w:val="false"/>
      <w:suff w:val="tab"/>
      <w:lvlText w:val="%3."/>
      <w:lvlJc w:val="right"/>
      <w:pPr>
        <w:pStyle w:val="777"/>
        <w:ind w:left="1260" w:hanging="420"/>
      </w:pPr>
    </w:lvl>
    <w:lvl w:ilvl="3">
      <w:start w:val="1"/>
      <w:numFmt w:val="decimal"/>
      <w:isLgl w:val="false"/>
      <w:suff w:val="tab"/>
      <w:lvlText w:val="%4."/>
      <w:lvlJc w:val="left"/>
      <w:pPr>
        <w:pStyle w:val="777"/>
        <w:ind w:left="1680" w:hanging="420"/>
      </w:pPr>
    </w:lvl>
    <w:lvl w:ilvl="4">
      <w:start w:val="1"/>
      <w:numFmt w:val="lowerLetter"/>
      <w:isLgl w:val="false"/>
      <w:suff w:val="tab"/>
      <w:lvlText w:val="%5)"/>
      <w:lvlJc w:val="left"/>
      <w:pPr>
        <w:pStyle w:val="777"/>
        <w:ind w:left="2100" w:hanging="420"/>
      </w:pPr>
    </w:lvl>
    <w:lvl w:ilvl="5">
      <w:start w:val="1"/>
      <w:numFmt w:val="lowerRoman"/>
      <w:isLgl w:val="false"/>
      <w:suff w:val="tab"/>
      <w:lvlText w:val="%6."/>
      <w:lvlJc w:val="right"/>
      <w:pPr>
        <w:pStyle w:val="777"/>
        <w:ind w:left="2520" w:hanging="420"/>
      </w:pPr>
    </w:lvl>
    <w:lvl w:ilvl="6">
      <w:start w:val="1"/>
      <w:numFmt w:val="decimal"/>
      <w:isLgl w:val="false"/>
      <w:suff w:val="tab"/>
      <w:lvlText w:val="%7."/>
      <w:lvlJc w:val="left"/>
      <w:pPr>
        <w:pStyle w:val="777"/>
        <w:ind w:left="2940" w:hanging="420"/>
      </w:pPr>
    </w:lvl>
    <w:lvl w:ilvl="7">
      <w:start w:val="1"/>
      <w:numFmt w:val="lowerLetter"/>
      <w:isLgl w:val="false"/>
      <w:suff w:val="tab"/>
      <w:lvlText w:val="%8)"/>
      <w:lvlJc w:val="left"/>
      <w:pPr>
        <w:pStyle w:val="777"/>
        <w:ind w:left="3360" w:hanging="420"/>
      </w:pPr>
    </w:lvl>
    <w:lvl w:ilvl="8">
      <w:start w:val="1"/>
      <w:numFmt w:val="lowerRoman"/>
      <w:isLgl w:val="false"/>
      <w:suff w:val="tab"/>
      <w:lvlText w:val="%9."/>
      <w:lvlJc w:val="right"/>
      <w:pPr>
        <w:pStyle w:val="777"/>
        <w:ind w:left="3780" w:hanging="420"/>
      </w:pPr>
    </w:lvl>
  </w:abstractNum>
  <w:abstractNum w:abstractNumId="9">
    <w:multiLevelType w:val="hybridMultilevel"/>
    <w:lvl w:ilvl="0">
      <w:start w:val="1"/>
      <w:numFmt w:val="decimal"/>
      <w:pStyle w:val="989"/>
      <w:isLgl w:val="false"/>
      <w:suff w:val="tab"/>
      <w:lvlText w:val="%1"/>
      <w:lvlJc w:val="left"/>
      <w:pPr>
        <w:pStyle w:val="777"/>
        <w:ind w:left="680" w:hanging="680"/>
      </w:pPr>
      <w:rPr>
        <w:rFonts w:hint="eastAsia" w:ascii="宋体" w:hAnsi="宋体" w:eastAsia="宋体"/>
      </w:rPr>
    </w:lvl>
    <w:lvl w:ilvl="1">
      <w:start w:val="1"/>
      <w:numFmt w:val="decimal"/>
      <w:pStyle w:val="990"/>
      <w:isLgl w:val="false"/>
      <w:suff w:val="tab"/>
      <w:lvlText w:val="%1.%2"/>
      <w:lvlJc w:val="left"/>
      <w:pPr>
        <w:pStyle w:val="777"/>
        <w:ind w:left="851" w:hanging="851"/>
      </w:pPr>
      <w:rPr>
        <w:rFonts w:hint="eastAsia" w:ascii="宋体" w:hAnsi="宋体" w:eastAsia="宋体"/>
        <w:color w:val="000000"/>
      </w:rPr>
    </w:lvl>
    <w:lvl w:ilvl="2">
      <w:start w:val="1"/>
      <w:numFmt w:val="decimal"/>
      <w:pStyle w:val="991"/>
      <w:isLgl w:val="false"/>
      <w:suff w:val="tab"/>
      <w:lvlText w:val="%1.%2.%3"/>
      <w:lvlJc w:val="left"/>
      <w:pPr>
        <w:pStyle w:val="777"/>
        <w:ind w:left="851" w:hanging="851"/>
      </w:pPr>
      <w:rPr>
        <w:rFonts w:hint="eastAsia"/>
      </w:rPr>
    </w:lvl>
    <w:lvl w:ilvl="3">
      <w:start w:val="1"/>
      <w:numFmt w:val="decimal"/>
      <w:isLgl w:val="false"/>
      <w:suff w:val="tab"/>
      <w:lvlText w:val="%1.%2.%3.%4"/>
      <w:lvlJc w:val="left"/>
      <w:pPr>
        <w:pStyle w:val="777"/>
        <w:ind w:left="680" w:hanging="680"/>
      </w:pPr>
      <w:rPr>
        <w:rFonts w:hint="eastAsia"/>
      </w:rPr>
    </w:lvl>
    <w:lvl w:ilvl="4">
      <w:start w:val="1"/>
      <w:numFmt w:val="decimal"/>
      <w:isLgl w:val="false"/>
      <w:suff w:val="tab"/>
      <w:lvlText w:val="%1.%2.%3.%4.%5"/>
      <w:lvlJc w:val="left"/>
      <w:pPr>
        <w:pStyle w:val="777"/>
        <w:ind w:left="680" w:hanging="680"/>
      </w:pPr>
      <w:rPr>
        <w:rFonts w:hint="eastAsia"/>
      </w:rPr>
    </w:lvl>
    <w:lvl w:ilvl="5">
      <w:start w:val="1"/>
      <w:numFmt w:val="decimal"/>
      <w:isLgl w:val="false"/>
      <w:suff w:val="tab"/>
      <w:lvlText w:val="%1.%2.%3.%4.%5.%6"/>
      <w:lvlJc w:val="left"/>
      <w:pPr>
        <w:pStyle w:val="777"/>
        <w:ind w:left="680" w:hanging="680"/>
      </w:pPr>
      <w:rPr>
        <w:rFonts w:hint="eastAsia"/>
      </w:rPr>
    </w:lvl>
    <w:lvl w:ilvl="6">
      <w:start w:val="1"/>
      <w:numFmt w:val="decimal"/>
      <w:isLgl w:val="false"/>
      <w:suff w:val="tab"/>
      <w:lvlText w:val="%1.%2.%3.%4.%5.%6.%7"/>
      <w:lvlJc w:val="left"/>
      <w:pPr>
        <w:pStyle w:val="777"/>
        <w:ind w:left="680" w:hanging="680"/>
      </w:pPr>
      <w:rPr>
        <w:rFonts w:hint="eastAsia"/>
      </w:rPr>
    </w:lvl>
    <w:lvl w:ilvl="7">
      <w:start w:val="1"/>
      <w:numFmt w:val="decimal"/>
      <w:isLgl w:val="false"/>
      <w:suff w:val="tab"/>
      <w:lvlText w:val="%1.%2.%3.%4.%5.%6.%7.%8"/>
      <w:lvlJc w:val="left"/>
      <w:pPr>
        <w:pStyle w:val="777"/>
        <w:ind w:left="680" w:hanging="680"/>
      </w:pPr>
      <w:rPr>
        <w:rFonts w:hint="eastAsia"/>
      </w:rPr>
    </w:lvl>
    <w:lvl w:ilvl="8">
      <w:start w:val="1"/>
      <w:numFmt w:val="decimal"/>
      <w:isLgl w:val="false"/>
      <w:suff w:val="tab"/>
      <w:lvlText w:val="%1.%2.%3.%4.%5.%6.%7.%8.%9"/>
      <w:lvlJc w:val="left"/>
      <w:pPr>
        <w:pStyle w:val="777"/>
        <w:ind w:left="680" w:hanging="680"/>
      </w:pPr>
      <w:rPr>
        <w:rFonts w:hint="eastAsia"/>
      </w:rPr>
    </w:lvl>
  </w:abstractNum>
  <w:abstractNum w:abstractNumId="10">
    <w:multiLevelType w:val="hybridMultilevel"/>
    <w:lvl w:ilvl="0">
      <w:start w:val="1"/>
      <w:numFmt w:val="decimal"/>
      <w:isLgl w:val="false"/>
      <w:suff w:val="tab"/>
      <w:lvlText w:val="%1"/>
      <w:lvlJc w:val="left"/>
      <w:pPr>
        <w:pStyle w:val="777"/>
        <w:ind w:left="900" w:hanging="900"/>
        <w:tabs>
          <w:tab w:val="num" w:pos="900" w:leader="none"/>
        </w:tabs>
      </w:pPr>
      <w:rPr>
        <w:rFonts w:hint="eastAsia"/>
      </w:rPr>
    </w:lvl>
    <w:lvl w:ilvl="1">
      <w:start w:val="1"/>
      <w:numFmt w:val="decimal"/>
      <w:isLgl w:val="false"/>
      <w:suff w:val="tab"/>
      <w:lvlText w:val="%1.%2"/>
      <w:lvlJc w:val="left"/>
      <w:pPr>
        <w:pStyle w:val="77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7"/>
        <w:ind w:left="1980" w:hanging="900"/>
        <w:tabs>
          <w:tab w:val="num" w:pos="1980" w:leader="none"/>
        </w:tabs>
      </w:pPr>
      <w:rPr>
        <w:rFonts w:hint="eastAsia"/>
      </w:rPr>
    </w:lvl>
    <w:lvl w:ilvl="3">
      <w:start w:val="1"/>
      <w:numFmt w:val="decimal"/>
      <w:isLgl w:val="false"/>
      <w:suff w:val="tab"/>
      <w:lvlText w:val="%1.%2.%3.%4"/>
      <w:lvlJc w:val="left"/>
      <w:pPr>
        <w:pStyle w:val="777"/>
        <w:ind w:left="900" w:hanging="900"/>
        <w:tabs>
          <w:tab w:val="num" w:pos="900" w:leader="none"/>
        </w:tabs>
      </w:pPr>
      <w:rPr>
        <w:rFonts w:hint="eastAsia"/>
      </w:rPr>
    </w:lvl>
    <w:lvl w:ilvl="4">
      <w:start w:val="1"/>
      <w:numFmt w:val="decimal"/>
      <w:isLgl w:val="false"/>
      <w:suff w:val="tab"/>
      <w:lvlText w:val="%1.%2.%3.%4.%5"/>
      <w:lvlJc w:val="left"/>
      <w:pPr>
        <w:pStyle w:val="777"/>
        <w:ind w:left="900" w:hanging="900"/>
        <w:tabs>
          <w:tab w:val="num" w:pos="900" w:leader="none"/>
        </w:tabs>
      </w:pPr>
      <w:rPr>
        <w:rFonts w:hint="eastAsia"/>
      </w:rPr>
    </w:lvl>
    <w:lvl w:ilvl="5">
      <w:start w:val="1"/>
      <w:numFmt w:val="decimal"/>
      <w:isLgl w:val="false"/>
      <w:suff w:val="tab"/>
      <w:lvlText w:val="%1.%2.%3.%4.%5.%6"/>
      <w:lvlJc w:val="left"/>
      <w:pPr>
        <w:pStyle w:val="777"/>
        <w:ind w:left="900" w:hanging="900"/>
        <w:tabs>
          <w:tab w:val="num" w:pos="900" w:leader="none"/>
        </w:tabs>
      </w:pPr>
      <w:rPr>
        <w:rFonts w:hint="eastAsia"/>
      </w:rPr>
    </w:lvl>
    <w:lvl w:ilvl="6">
      <w:start w:val="1"/>
      <w:numFmt w:val="decimal"/>
      <w:isLgl w:val="false"/>
      <w:suff w:val="tab"/>
      <w:lvlText w:val="%1.%2.%3.%4.%5.%6.%7"/>
      <w:lvlJc w:val="left"/>
      <w:pPr>
        <w:pStyle w:val="777"/>
        <w:ind w:left="900" w:hanging="900"/>
        <w:tabs>
          <w:tab w:val="num" w:pos="900" w:leader="none"/>
        </w:tabs>
      </w:pPr>
      <w:rPr>
        <w:rFonts w:hint="eastAsia"/>
      </w:rPr>
    </w:lvl>
    <w:lvl w:ilvl="7">
      <w:start w:val="1"/>
      <w:numFmt w:val="decimal"/>
      <w:isLgl w:val="false"/>
      <w:suff w:val="tab"/>
      <w:lvlText w:val="%1.%2.%3.%4.%5.%6.%7.%8"/>
      <w:lvlJc w:val="left"/>
      <w:pPr>
        <w:pStyle w:val="777"/>
        <w:ind w:left="900" w:hanging="900"/>
        <w:tabs>
          <w:tab w:val="num" w:pos="900" w:leader="none"/>
        </w:tabs>
      </w:pPr>
      <w:rPr>
        <w:rFonts w:hint="eastAsia"/>
      </w:rPr>
    </w:lvl>
    <w:lvl w:ilvl="8">
      <w:start w:val="1"/>
      <w:numFmt w:val="decimal"/>
      <w:isLgl w:val="false"/>
      <w:suff w:val="tab"/>
      <w:lvlText w:val="%1.%2.%3.%4.%5.%6.%7.%8.%9"/>
      <w:lvlJc w:val="left"/>
      <w:pPr>
        <w:pStyle w:val="777"/>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777"/>
        <w:ind w:left="900" w:hanging="900"/>
        <w:tabs>
          <w:tab w:val="num" w:pos="900" w:leader="none"/>
        </w:tabs>
      </w:pPr>
      <w:rPr>
        <w:rFonts w:hint="eastAsia"/>
      </w:rPr>
    </w:lvl>
    <w:lvl w:ilvl="1">
      <w:start w:val="1"/>
      <w:numFmt w:val="decimal"/>
      <w:isLgl w:val="false"/>
      <w:suff w:val="tab"/>
      <w:lvlText w:val="%1.%2"/>
      <w:lvlJc w:val="left"/>
      <w:pPr>
        <w:pStyle w:val="77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7"/>
        <w:ind w:left="1980" w:hanging="900"/>
        <w:tabs>
          <w:tab w:val="num" w:pos="1980" w:leader="none"/>
        </w:tabs>
      </w:pPr>
      <w:rPr>
        <w:rFonts w:hint="eastAsia"/>
      </w:rPr>
    </w:lvl>
    <w:lvl w:ilvl="3">
      <w:start w:val="1"/>
      <w:numFmt w:val="decimal"/>
      <w:isLgl w:val="false"/>
      <w:suff w:val="tab"/>
      <w:lvlText w:val="%1.%2.%3.%4"/>
      <w:lvlJc w:val="left"/>
      <w:pPr>
        <w:pStyle w:val="777"/>
        <w:ind w:left="900" w:hanging="900"/>
        <w:tabs>
          <w:tab w:val="num" w:pos="900" w:leader="none"/>
        </w:tabs>
      </w:pPr>
      <w:rPr>
        <w:rFonts w:hint="eastAsia"/>
      </w:rPr>
    </w:lvl>
    <w:lvl w:ilvl="4">
      <w:start w:val="1"/>
      <w:numFmt w:val="decimal"/>
      <w:isLgl w:val="false"/>
      <w:suff w:val="tab"/>
      <w:lvlText w:val="%1.%2.%3.%4.%5"/>
      <w:lvlJc w:val="left"/>
      <w:pPr>
        <w:pStyle w:val="777"/>
        <w:ind w:left="900" w:hanging="900"/>
        <w:tabs>
          <w:tab w:val="num" w:pos="900" w:leader="none"/>
        </w:tabs>
      </w:pPr>
      <w:rPr>
        <w:rFonts w:hint="eastAsia"/>
      </w:rPr>
    </w:lvl>
    <w:lvl w:ilvl="5">
      <w:start w:val="1"/>
      <w:numFmt w:val="decimal"/>
      <w:isLgl w:val="false"/>
      <w:suff w:val="tab"/>
      <w:lvlText w:val="%1.%2.%3.%4.%5.%6"/>
      <w:lvlJc w:val="left"/>
      <w:pPr>
        <w:pStyle w:val="777"/>
        <w:ind w:left="900" w:hanging="900"/>
        <w:tabs>
          <w:tab w:val="num" w:pos="900" w:leader="none"/>
        </w:tabs>
      </w:pPr>
      <w:rPr>
        <w:rFonts w:hint="eastAsia"/>
      </w:rPr>
    </w:lvl>
    <w:lvl w:ilvl="6">
      <w:start w:val="1"/>
      <w:numFmt w:val="decimal"/>
      <w:isLgl w:val="false"/>
      <w:suff w:val="tab"/>
      <w:lvlText w:val="%1.%2.%3.%4.%5.%6.%7"/>
      <w:lvlJc w:val="left"/>
      <w:pPr>
        <w:pStyle w:val="777"/>
        <w:ind w:left="900" w:hanging="900"/>
        <w:tabs>
          <w:tab w:val="num" w:pos="900" w:leader="none"/>
        </w:tabs>
      </w:pPr>
      <w:rPr>
        <w:rFonts w:hint="eastAsia"/>
      </w:rPr>
    </w:lvl>
    <w:lvl w:ilvl="7">
      <w:start w:val="1"/>
      <w:numFmt w:val="decimal"/>
      <w:isLgl w:val="false"/>
      <w:suff w:val="tab"/>
      <w:lvlText w:val="%1.%2.%3.%4.%5.%6.%7.%8"/>
      <w:lvlJc w:val="left"/>
      <w:pPr>
        <w:pStyle w:val="777"/>
        <w:ind w:left="900" w:hanging="900"/>
        <w:tabs>
          <w:tab w:val="num" w:pos="900" w:leader="none"/>
        </w:tabs>
      </w:pPr>
      <w:rPr>
        <w:rFonts w:hint="eastAsia"/>
      </w:rPr>
    </w:lvl>
    <w:lvl w:ilvl="8">
      <w:start w:val="1"/>
      <w:numFmt w:val="decimal"/>
      <w:isLgl w:val="false"/>
      <w:suff w:val="tab"/>
      <w:lvlText w:val="%1.%2.%3.%4.%5.%6.%7.%8.%9"/>
      <w:lvlJc w:val="left"/>
      <w:pPr>
        <w:pStyle w:val="777"/>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7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77"/>
        <w:ind w:left="900" w:hanging="900"/>
        <w:tabs>
          <w:tab w:val="num" w:pos="900" w:leader="none"/>
        </w:tabs>
      </w:pPr>
      <w:rPr>
        <w:rFonts w:hint="eastAsia"/>
      </w:rPr>
    </w:lvl>
    <w:lvl w:ilvl="1">
      <w:start w:val="1"/>
      <w:numFmt w:val="decimal"/>
      <w:isLgl w:val="false"/>
      <w:suff w:val="tab"/>
      <w:lvlText w:val="%1.%2"/>
      <w:lvlJc w:val="left"/>
      <w:pPr>
        <w:pStyle w:val="77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7"/>
        <w:ind w:left="1980" w:hanging="900"/>
        <w:tabs>
          <w:tab w:val="num" w:pos="1980" w:leader="none"/>
        </w:tabs>
      </w:pPr>
      <w:rPr>
        <w:rFonts w:hint="eastAsia"/>
      </w:rPr>
    </w:lvl>
    <w:lvl w:ilvl="3">
      <w:start w:val="1"/>
      <w:numFmt w:val="decimal"/>
      <w:isLgl w:val="false"/>
      <w:suff w:val="tab"/>
      <w:lvlText w:val="%1.%2.%3.%4"/>
      <w:lvlJc w:val="left"/>
      <w:pPr>
        <w:pStyle w:val="777"/>
        <w:ind w:left="900" w:hanging="900"/>
        <w:tabs>
          <w:tab w:val="num" w:pos="900" w:leader="none"/>
        </w:tabs>
      </w:pPr>
      <w:rPr>
        <w:rFonts w:hint="eastAsia"/>
      </w:rPr>
    </w:lvl>
    <w:lvl w:ilvl="4">
      <w:start w:val="1"/>
      <w:numFmt w:val="decimal"/>
      <w:isLgl w:val="false"/>
      <w:suff w:val="tab"/>
      <w:lvlText w:val="%1.%2.%3.%4.%5"/>
      <w:lvlJc w:val="left"/>
      <w:pPr>
        <w:pStyle w:val="777"/>
        <w:ind w:left="900" w:hanging="900"/>
        <w:tabs>
          <w:tab w:val="num" w:pos="900" w:leader="none"/>
        </w:tabs>
      </w:pPr>
      <w:rPr>
        <w:rFonts w:hint="eastAsia"/>
      </w:rPr>
    </w:lvl>
    <w:lvl w:ilvl="5">
      <w:start w:val="1"/>
      <w:numFmt w:val="decimal"/>
      <w:isLgl w:val="false"/>
      <w:suff w:val="tab"/>
      <w:lvlText w:val="%1.%2.%3.%4.%5.%6"/>
      <w:lvlJc w:val="left"/>
      <w:pPr>
        <w:pStyle w:val="777"/>
        <w:ind w:left="900" w:hanging="900"/>
        <w:tabs>
          <w:tab w:val="num" w:pos="900" w:leader="none"/>
        </w:tabs>
      </w:pPr>
      <w:rPr>
        <w:rFonts w:hint="eastAsia"/>
      </w:rPr>
    </w:lvl>
    <w:lvl w:ilvl="6">
      <w:start w:val="1"/>
      <w:numFmt w:val="decimal"/>
      <w:isLgl w:val="false"/>
      <w:suff w:val="tab"/>
      <w:lvlText w:val="%1.%2.%3.%4.%5.%6.%7"/>
      <w:lvlJc w:val="left"/>
      <w:pPr>
        <w:pStyle w:val="777"/>
        <w:ind w:left="900" w:hanging="900"/>
        <w:tabs>
          <w:tab w:val="num" w:pos="900" w:leader="none"/>
        </w:tabs>
      </w:pPr>
      <w:rPr>
        <w:rFonts w:hint="eastAsia"/>
      </w:rPr>
    </w:lvl>
    <w:lvl w:ilvl="7">
      <w:start w:val="1"/>
      <w:numFmt w:val="decimal"/>
      <w:isLgl w:val="false"/>
      <w:suff w:val="tab"/>
      <w:lvlText w:val="%1.%2.%3.%4.%5.%6.%7.%8"/>
      <w:lvlJc w:val="left"/>
      <w:pPr>
        <w:pStyle w:val="777"/>
        <w:ind w:left="900" w:hanging="900"/>
        <w:tabs>
          <w:tab w:val="num" w:pos="900" w:leader="none"/>
        </w:tabs>
      </w:pPr>
      <w:rPr>
        <w:rFonts w:hint="eastAsia"/>
      </w:rPr>
    </w:lvl>
    <w:lvl w:ilvl="8">
      <w:start w:val="1"/>
      <w:numFmt w:val="decimal"/>
      <w:isLgl w:val="false"/>
      <w:suff w:val="tab"/>
      <w:lvlText w:val="%1.%2.%3.%4.%5.%6.%7.%8.%9"/>
      <w:lvlJc w:val="left"/>
      <w:pPr>
        <w:pStyle w:val="777"/>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777"/>
        <w:ind w:left="900" w:hanging="900"/>
        <w:tabs>
          <w:tab w:val="num" w:pos="900" w:leader="none"/>
        </w:tabs>
      </w:pPr>
      <w:rPr>
        <w:rFonts w:hint="eastAsia"/>
      </w:rPr>
    </w:lvl>
    <w:lvl w:ilvl="1">
      <w:start w:val="1"/>
      <w:numFmt w:val="decimal"/>
      <w:isLgl w:val="false"/>
      <w:suff w:val="tab"/>
      <w:lvlText w:val="%1.%2"/>
      <w:lvlJc w:val="left"/>
      <w:pPr>
        <w:pStyle w:val="77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7"/>
        <w:ind w:left="1980" w:hanging="900"/>
        <w:tabs>
          <w:tab w:val="num" w:pos="1980" w:leader="none"/>
        </w:tabs>
      </w:pPr>
      <w:rPr>
        <w:rFonts w:hint="eastAsia"/>
      </w:rPr>
    </w:lvl>
    <w:lvl w:ilvl="3">
      <w:start w:val="1"/>
      <w:numFmt w:val="decimal"/>
      <w:isLgl w:val="false"/>
      <w:suff w:val="tab"/>
      <w:lvlText w:val="%1.%2.%3.%4"/>
      <w:lvlJc w:val="left"/>
      <w:pPr>
        <w:pStyle w:val="777"/>
        <w:ind w:left="900" w:hanging="900"/>
        <w:tabs>
          <w:tab w:val="num" w:pos="900" w:leader="none"/>
        </w:tabs>
      </w:pPr>
      <w:rPr>
        <w:rFonts w:hint="eastAsia"/>
      </w:rPr>
    </w:lvl>
    <w:lvl w:ilvl="4">
      <w:start w:val="1"/>
      <w:numFmt w:val="decimal"/>
      <w:isLgl w:val="false"/>
      <w:suff w:val="tab"/>
      <w:lvlText w:val="%1.%2.%3.%4.%5"/>
      <w:lvlJc w:val="left"/>
      <w:pPr>
        <w:pStyle w:val="777"/>
        <w:ind w:left="900" w:hanging="900"/>
        <w:tabs>
          <w:tab w:val="num" w:pos="900" w:leader="none"/>
        </w:tabs>
      </w:pPr>
      <w:rPr>
        <w:rFonts w:hint="eastAsia"/>
      </w:rPr>
    </w:lvl>
    <w:lvl w:ilvl="5">
      <w:start w:val="1"/>
      <w:numFmt w:val="decimal"/>
      <w:isLgl w:val="false"/>
      <w:suff w:val="tab"/>
      <w:lvlText w:val="%1.%2.%3.%4.%5.%6"/>
      <w:lvlJc w:val="left"/>
      <w:pPr>
        <w:pStyle w:val="777"/>
        <w:ind w:left="900" w:hanging="900"/>
        <w:tabs>
          <w:tab w:val="num" w:pos="900" w:leader="none"/>
        </w:tabs>
      </w:pPr>
      <w:rPr>
        <w:rFonts w:hint="eastAsia"/>
      </w:rPr>
    </w:lvl>
    <w:lvl w:ilvl="6">
      <w:start w:val="1"/>
      <w:numFmt w:val="decimal"/>
      <w:isLgl w:val="false"/>
      <w:suff w:val="tab"/>
      <w:lvlText w:val="%1.%2.%3.%4.%5.%6.%7"/>
      <w:lvlJc w:val="left"/>
      <w:pPr>
        <w:pStyle w:val="777"/>
        <w:ind w:left="900" w:hanging="900"/>
        <w:tabs>
          <w:tab w:val="num" w:pos="900" w:leader="none"/>
        </w:tabs>
      </w:pPr>
      <w:rPr>
        <w:rFonts w:hint="eastAsia"/>
      </w:rPr>
    </w:lvl>
    <w:lvl w:ilvl="7">
      <w:start w:val="1"/>
      <w:numFmt w:val="decimal"/>
      <w:isLgl w:val="false"/>
      <w:suff w:val="tab"/>
      <w:lvlText w:val="%1.%2.%3.%4.%5.%6.%7.%8"/>
      <w:lvlJc w:val="left"/>
      <w:pPr>
        <w:pStyle w:val="777"/>
        <w:ind w:left="900" w:hanging="900"/>
        <w:tabs>
          <w:tab w:val="num" w:pos="900" w:leader="none"/>
        </w:tabs>
      </w:pPr>
      <w:rPr>
        <w:rFonts w:hint="eastAsia"/>
      </w:rPr>
    </w:lvl>
    <w:lvl w:ilvl="8">
      <w:start w:val="1"/>
      <w:numFmt w:val="decimal"/>
      <w:isLgl w:val="false"/>
      <w:suff w:val="tab"/>
      <w:lvlText w:val="%1.%2.%3.%4.%5.%6.%7.%8.%9"/>
      <w:lvlJc w:val="left"/>
      <w:pPr>
        <w:pStyle w:val="777"/>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3"/>
  </w:num>
  <w:num w:numId="12">
    <w:abstractNumId w:val="10"/>
  </w:num>
  <w:num w:numId="13">
    <w:abstractNumId w:val="14"/>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7"/>
    <w:next w:val="7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7"/>
    <w:next w:val="7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7"/>
    <w:next w:val="7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7"/>
    <w:next w:val="7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7"/>
    <w:next w:val="7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7"/>
    <w:next w:val="7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7"/>
    <w:next w:val="7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7"/>
    <w:next w:val="7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7"/>
    <w:next w:val="7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7"/>
    <w:next w:val="7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7"/>
    <w:next w:val="7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7"/>
    <w:next w:val="777"/>
    <w:link w:val="38"/>
    <w:uiPriority w:val="29"/>
    <w:qFormat/>
    <w:pPr>
      <w:ind w:left="720" w:right="720"/>
    </w:pPr>
    <w:rPr>
      <w:i/>
    </w:rPr>
  </w:style>
  <w:style w:type="character" w:styleId="38">
    <w:name w:val="Quote Char"/>
    <w:link w:val="37"/>
    <w:uiPriority w:val="29"/>
    <w:rPr>
      <w:i/>
    </w:rPr>
  </w:style>
  <w:style w:type="paragraph" w:styleId="39">
    <w:name w:val="Intense Quote"/>
    <w:basedOn w:val="777"/>
    <w:next w:val="7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7"/>
    <w:next w:val="7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7"/>
    <w:next w:val="777"/>
    <w:uiPriority w:val="39"/>
    <w:unhideWhenUsed/>
    <w:pPr>
      <w:ind w:left="0" w:right="0" w:firstLine="0"/>
      <w:spacing w:after="57"/>
    </w:pPr>
  </w:style>
  <w:style w:type="paragraph" w:styleId="181">
    <w:name w:val="toc 2"/>
    <w:basedOn w:val="777"/>
    <w:next w:val="777"/>
    <w:uiPriority w:val="39"/>
    <w:unhideWhenUsed/>
    <w:pPr>
      <w:ind w:left="283" w:right="0" w:firstLine="0"/>
      <w:spacing w:after="57"/>
    </w:pPr>
  </w:style>
  <w:style w:type="paragraph" w:styleId="182">
    <w:name w:val="toc 3"/>
    <w:basedOn w:val="777"/>
    <w:next w:val="777"/>
    <w:uiPriority w:val="39"/>
    <w:unhideWhenUsed/>
    <w:pPr>
      <w:ind w:left="567" w:right="0" w:firstLine="0"/>
      <w:spacing w:after="57"/>
    </w:pPr>
  </w:style>
  <w:style w:type="paragraph" w:styleId="183">
    <w:name w:val="toc 4"/>
    <w:basedOn w:val="777"/>
    <w:next w:val="777"/>
    <w:uiPriority w:val="39"/>
    <w:unhideWhenUsed/>
    <w:pPr>
      <w:ind w:left="850" w:right="0" w:firstLine="0"/>
      <w:spacing w:after="57"/>
    </w:pPr>
  </w:style>
  <w:style w:type="paragraph" w:styleId="184">
    <w:name w:val="toc 5"/>
    <w:basedOn w:val="777"/>
    <w:next w:val="777"/>
    <w:uiPriority w:val="39"/>
    <w:unhideWhenUsed/>
    <w:pPr>
      <w:ind w:left="1134" w:right="0" w:firstLine="0"/>
      <w:spacing w:after="57"/>
    </w:pPr>
  </w:style>
  <w:style w:type="paragraph" w:styleId="185">
    <w:name w:val="toc 6"/>
    <w:basedOn w:val="777"/>
    <w:next w:val="777"/>
    <w:uiPriority w:val="39"/>
    <w:unhideWhenUsed/>
    <w:pPr>
      <w:ind w:left="1417" w:right="0" w:firstLine="0"/>
      <w:spacing w:after="57"/>
    </w:pPr>
  </w:style>
  <w:style w:type="paragraph" w:styleId="186">
    <w:name w:val="toc 7"/>
    <w:basedOn w:val="777"/>
    <w:next w:val="777"/>
    <w:uiPriority w:val="39"/>
    <w:unhideWhenUsed/>
    <w:pPr>
      <w:ind w:left="1701" w:right="0" w:firstLine="0"/>
      <w:spacing w:after="57"/>
    </w:pPr>
  </w:style>
  <w:style w:type="paragraph" w:styleId="187">
    <w:name w:val="toc 8"/>
    <w:basedOn w:val="777"/>
    <w:next w:val="777"/>
    <w:uiPriority w:val="39"/>
    <w:unhideWhenUsed/>
    <w:pPr>
      <w:ind w:left="1984" w:right="0" w:firstLine="0"/>
      <w:spacing w:after="57"/>
    </w:pPr>
  </w:style>
  <w:style w:type="paragraph" w:styleId="188">
    <w:name w:val="toc 9"/>
    <w:basedOn w:val="777"/>
    <w:next w:val="7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7"/>
    <w:next w:val="777"/>
    <w:uiPriority w:val="99"/>
    <w:unhideWhenUsed/>
    <w:pPr>
      <w:spacing w:after="0" w:afterAutospacing="0"/>
    </w:pPr>
  </w:style>
  <w:style w:type="paragraph" w:styleId="777" w:default="1">
    <w:name w:val="Normal"/>
    <w:next w:val="789"/>
    <w:link w:val="777"/>
    <w:qFormat/>
    <w:pPr>
      <w:jc w:val="both"/>
      <w:widowControl w:val="off"/>
    </w:pPr>
    <w:rPr>
      <w:sz w:val="21"/>
      <w:szCs w:val="24"/>
      <w:lang w:val="en-US" w:eastAsia="zh-CN" w:bidi="ar-SA"/>
    </w:rPr>
  </w:style>
  <w:style w:type="paragraph" w:styleId="778">
    <w:name w:val="标题 1"/>
    <w:basedOn w:val="777"/>
    <w:next w:val="777"/>
    <w:link w:val="791"/>
    <w:qFormat/>
    <w:pPr>
      <w:jc w:val="center"/>
      <w:keepLines/>
      <w:keepNext/>
      <w:spacing w:before="240" w:after="120" w:line="300" w:lineRule="auto"/>
      <w:outlineLvl w:val="0"/>
    </w:pPr>
    <w:rPr>
      <w:rFonts w:ascii="宋体"/>
      <w:b/>
      <w:sz w:val="32"/>
      <w:szCs w:val="20"/>
    </w:rPr>
  </w:style>
  <w:style w:type="paragraph" w:styleId="779">
    <w:name w:val="标题 2"/>
    <w:basedOn w:val="777"/>
    <w:next w:val="793"/>
    <w:link w:val="792"/>
    <w:qFormat/>
    <w:pPr>
      <w:jc w:val="center"/>
      <w:keepLines/>
      <w:keepNext/>
      <w:spacing w:before="120" w:line="300" w:lineRule="auto"/>
      <w:outlineLvl w:val="1"/>
    </w:pPr>
    <w:rPr>
      <w:rFonts w:ascii="Arial" w:hAnsi="Arial" w:eastAsia="黑体"/>
      <w:b/>
      <w:sz w:val="30"/>
      <w:szCs w:val="20"/>
    </w:rPr>
  </w:style>
  <w:style w:type="paragraph" w:styleId="780">
    <w:name w:val="标题 3"/>
    <w:basedOn w:val="777"/>
    <w:next w:val="777"/>
    <w:link w:val="795"/>
    <w:qFormat/>
    <w:pPr>
      <w:jc w:val="left"/>
      <w:keepLines/>
      <w:keepNext/>
      <w:spacing w:before="360" w:after="120"/>
      <w:outlineLvl w:val="2"/>
    </w:pPr>
    <w:rPr>
      <w:rFonts w:ascii="宋体"/>
      <w:b/>
      <w:sz w:val="24"/>
      <w:szCs w:val="20"/>
      <w:u w:val="single"/>
    </w:rPr>
  </w:style>
  <w:style w:type="paragraph" w:styleId="781">
    <w:name w:val="标题 4"/>
    <w:basedOn w:val="777"/>
    <w:next w:val="777"/>
    <w:link w:val="796"/>
    <w:qFormat/>
    <w:pPr>
      <w:keepLines/>
      <w:keepNext/>
      <w:spacing w:before="280" w:after="290" w:line="376" w:lineRule="atLeast"/>
      <w:outlineLvl w:val="3"/>
    </w:pPr>
    <w:rPr>
      <w:rFonts w:ascii="Arial" w:hAnsi="Arial" w:eastAsia="黑体"/>
      <w:b/>
      <w:sz w:val="28"/>
      <w:szCs w:val="20"/>
    </w:rPr>
  </w:style>
  <w:style w:type="paragraph" w:styleId="782">
    <w:name w:val="标题 5"/>
    <w:basedOn w:val="777"/>
    <w:next w:val="777"/>
    <w:link w:val="797"/>
    <w:qFormat/>
    <w:pPr>
      <w:keepLines/>
      <w:keepNext/>
      <w:spacing w:before="280" w:after="290" w:line="376" w:lineRule="atLeast"/>
      <w:outlineLvl w:val="4"/>
    </w:pPr>
    <w:rPr>
      <w:b/>
      <w:sz w:val="28"/>
      <w:szCs w:val="20"/>
    </w:rPr>
  </w:style>
  <w:style w:type="paragraph" w:styleId="783">
    <w:name w:val="标题 6"/>
    <w:basedOn w:val="777"/>
    <w:next w:val="777"/>
    <w:link w:val="798"/>
    <w:qFormat/>
    <w:pPr>
      <w:keepLines/>
      <w:keepNext/>
      <w:spacing w:before="240" w:after="64" w:line="320" w:lineRule="atLeast"/>
      <w:outlineLvl w:val="5"/>
    </w:pPr>
    <w:rPr>
      <w:rFonts w:ascii="Arial" w:hAnsi="Arial" w:eastAsia="黑体"/>
      <w:b/>
      <w:sz w:val="24"/>
      <w:szCs w:val="20"/>
    </w:rPr>
  </w:style>
  <w:style w:type="paragraph" w:styleId="784">
    <w:name w:val="标题 7"/>
    <w:basedOn w:val="777"/>
    <w:next w:val="777"/>
    <w:link w:val="799"/>
    <w:qFormat/>
    <w:pPr>
      <w:keepLines/>
      <w:keepNext/>
      <w:spacing w:before="240" w:after="64" w:line="320" w:lineRule="atLeast"/>
      <w:outlineLvl w:val="6"/>
    </w:pPr>
    <w:rPr>
      <w:b/>
      <w:sz w:val="24"/>
      <w:szCs w:val="20"/>
    </w:rPr>
  </w:style>
  <w:style w:type="paragraph" w:styleId="785">
    <w:name w:val="标题 8"/>
    <w:basedOn w:val="777"/>
    <w:next w:val="777"/>
    <w:link w:val="800"/>
    <w:qFormat/>
    <w:pPr>
      <w:keepLines/>
      <w:keepNext/>
      <w:spacing w:before="240" w:after="64" w:line="320" w:lineRule="atLeast"/>
      <w:outlineLvl w:val="7"/>
    </w:pPr>
    <w:rPr>
      <w:rFonts w:ascii="Arial" w:hAnsi="Arial" w:eastAsia="黑体"/>
      <w:sz w:val="24"/>
      <w:szCs w:val="20"/>
    </w:rPr>
  </w:style>
  <w:style w:type="paragraph" w:styleId="786">
    <w:name w:val="标题 9"/>
    <w:basedOn w:val="777"/>
    <w:next w:val="777"/>
    <w:link w:val="801"/>
    <w:qFormat/>
    <w:pPr>
      <w:keepLines/>
      <w:keepNext/>
      <w:spacing w:before="240" w:after="64" w:line="320" w:lineRule="atLeast"/>
      <w:outlineLvl w:val="8"/>
    </w:pPr>
    <w:rPr>
      <w:rFonts w:ascii="Arial" w:hAnsi="Arial" w:eastAsia="黑体"/>
      <w:szCs w:val="20"/>
    </w:rPr>
  </w:style>
  <w:style w:type="character" w:styleId="787">
    <w:name w:val="默认段落字体"/>
    <w:next w:val="787"/>
    <w:link w:val="777"/>
    <w:uiPriority w:val="1"/>
    <w:unhideWhenUsed/>
    <w:qFormat/>
  </w:style>
  <w:style w:type="table" w:styleId="788">
    <w:name w:val="普通表格"/>
    <w:next w:val="788"/>
    <w:link w:val="777"/>
    <w:uiPriority w:val="99"/>
    <w:unhideWhenUsed/>
    <w:qFormat/>
    <w:tblPr/>
  </w:style>
  <w:style w:type="paragraph" w:styleId="789">
    <w:name w:val="正文文本"/>
    <w:basedOn w:val="777"/>
    <w:next w:val="777"/>
    <w:link w:val="790"/>
    <w:qFormat/>
    <w:pPr>
      <w:spacing w:before="120" w:line="22" w:lineRule="atLeast"/>
      <w:tabs>
        <w:tab w:val="left" w:pos="567" w:leader="none"/>
      </w:tabs>
    </w:pPr>
    <w:rPr>
      <w:rFonts w:ascii="宋体" w:hAnsi="宋体"/>
      <w:sz w:val="24"/>
    </w:rPr>
  </w:style>
  <w:style w:type="character" w:styleId="790">
    <w:name w:val="正文文本 Char"/>
    <w:basedOn w:val="787"/>
    <w:next w:val="790"/>
    <w:link w:val="789"/>
    <w:qFormat/>
    <w:rPr>
      <w:rFonts w:ascii="宋体" w:hAnsi="宋体"/>
      <w:sz w:val="24"/>
      <w:szCs w:val="24"/>
    </w:rPr>
  </w:style>
  <w:style w:type="character" w:styleId="791">
    <w:name w:val="标题 1 Char"/>
    <w:basedOn w:val="787"/>
    <w:next w:val="791"/>
    <w:link w:val="778"/>
    <w:qFormat/>
    <w:rPr>
      <w:rFonts w:ascii="宋体"/>
      <w:b/>
      <w:sz w:val="32"/>
    </w:rPr>
  </w:style>
  <w:style w:type="character" w:styleId="792">
    <w:name w:val="标题 2 Char1"/>
    <w:next w:val="792"/>
    <w:link w:val="779"/>
    <w:qFormat/>
    <w:rPr>
      <w:rFonts w:ascii="Arial" w:hAnsi="Arial" w:eastAsia="黑体"/>
      <w:b/>
      <w:sz w:val="30"/>
      <w:lang w:val="en-US" w:eastAsia="zh-CN" w:bidi="ar-SA"/>
    </w:rPr>
  </w:style>
  <w:style w:type="paragraph" w:styleId="793">
    <w:name w:val="正文缩进"/>
    <w:basedOn w:val="777"/>
    <w:next w:val="777"/>
    <w:link w:val="794"/>
    <w:qFormat/>
    <w:pPr>
      <w:ind w:firstLine="420"/>
      <w:jc w:val="left"/>
    </w:pPr>
    <w:rPr>
      <w:rFonts w:ascii="宋体"/>
      <w:sz w:val="24"/>
    </w:rPr>
  </w:style>
  <w:style w:type="character" w:styleId="794">
    <w:name w:val="正文缩进 Char1"/>
    <w:next w:val="794"/>
    <w:link w:val="793"/>
    <w:qFormat/>
    <w:rPr>
      <w:rFonts w:ascii="宋体" w:eastAsia="宋体"/>
      <w:sz w:val="24"/>
      <w:szCs w:val="24"/>
      <w:lang w:val="en-US" w:eastAsia="zh-CN" w:bidi="ar-SA"/>
    </w:rPr>
  </w:style>
  <w:style w:type="character" w:styleId="795">
    <w:name w:val="标题 3 Char1"/>
    <w:next w:val="795"/>
    <w:link w:val="780"/>
    <w:qFormat/>
    <w:rPr>
      <w:rFonts w:ascii="宋体" w:eastAsia="宋体"/>
      <w:b/>
      <w:sz w:val="24"/>
      <w:u w:val="single"/>
      <w:lang w:val="en-US" w:eastAsia="zh-CN" w:bidi="ar-SA"/>
    </w:rPr>
  </w:style>
  <w:style w:type="character" w:styleId="796">
    <w:name w:val="标题 4 Char"/>
    <w:basedOn w:val="787"/>
    <w:next w:val="796"/>
    <w:link w:val="781"/>
    <w:qFormat/>
    <w:rPr>
      <w:rFonts w:ascii="Arial" w:hAnsi="Arial" w:eastAsia="黑体"/>
      <w:b/>
      <w:sz w:val="28"/>
    </w:rPr>
  </w:style>
  <w:style w:type="character" w:styleId="797">
    <w:name w:val="标题 5 Char"/>
    <w:basedOn w:val="787"/>
    <w:next w:val="797"/>
    <w:link w:val="782"/>
    <w:qFormat/>
    <w:rPr>
      <w:b/>
      <w:sz w:val="28"/>
    </w:rPr>
  </w:style>
  <w:style w:type="character" w:styleId="798">
    <w:name w:val="标题 6 Char"/>
    <w:basedOn w:val="787"/>
    <w:next w:val="798"/>
    <w:link w:val="783"/>
    <w:qFormat/>
    <w:rPr>
      <w:rFonts w:ascii="Arial" w:hAnsi="Arial" w:eastAsia="黑体"/>
      <w:b/>
      <w:sz w:val="24"/>
    </w:rPr>
  </w:style>
  <w:style w:type="character" w:styleId="799">
    <w:name w:val="标题 7 Char"/>
    <w:basedOn w:val="787"/>
    <w:next w:val="799"/>
    <w:link w:val="784"/>
    <w:qFormat/>
    <w:rPr>
      <w:b/>
      <w:sz w:val="24"/>
    </w:rPr>
  </w:style>
  <w:style w:type="character" w:styleId="800">
    <w:name w:val="标题 8 Char"/>
    <w:basedOn w:val="787"/>
    <w:next w:val="800"/>
    <w:link w:val="785"/>
    <w:qFormat/>
    <w:rPr>
      <w:rFonts w:ascii="Arial" w:hAnsi="Arial" w:eastAsia="黑体"/>
      <w:sz w:val="24"/>
    </w:rPr>
  </w:style>
  <w:style w:type="character" w:styleId="801">
    <w:name w:val="标题 9 Char"/>
    <w:basedOn w:val="787"/>
    <w:next w:val="801"/>
    <w:link w:val="786"/>
    <w:qFormat/>
    <w:rPr>
      <w:rFonts w:ascii="Arial" w:hAnsi="Arial" w:eastAsia="黑体"/>
      <w:sz w:val="21"/>
    </w:rPr>
  </w:style>
  <w:style w:type="paragraph" w:styleId="802">
    <w:name w:val="目录 7"/>
    <w:basedOn w:val="777"/>
    <w:next w:val="777"/>
    <w:link w:val="777"/>
    <w:qFormat/>
    <w:pPr>
      <w:ind w:left="2520"/>
    </w:pPr>
  </w:style>
  <w:style w:type="paragraph" w:styleId="803">
    <w:name w:val="题注"/>
    <w:basedOn w:val="777"/>
    <w:next w:val="777"/>
    <w:link w:val="777"/>
    <w:qFormat/>
    <w:pPr>
      <w:spacing w:line="480" w:lineRule="auto"/>
    </w:pPr>
    <w:rPr>
      <w:rFonts w:ascii="华文中宋" w:hAnsi="华文中宋" w:eastAsia="华文中宋"/>
      <w:sz w:val="36"/>
      <w:szCs w:val="20"/>
    </w:rPr>
  </w:style>
  <w:style w:type="paragraph" w:styleId="804">
    <w:name w:val="文档结构图"/>
    <w:basedOn w:val="777"/>
    <w:next w:val="777"/>
    <w:link w:val="805"/>
    <w:qFormat/>
    <w:pPr>
      <w:shd w:val="clear" w:color="auto" w:fill="000080"/>
    </w:pPr>
  </w:style>
  <w:style w:type="character" w:styleId="805">
    <w:name w:val="文档结构图 Char"/>
    <w:basedOn w:val="787"/>
    <w:next w:val="805"/>
    <w:link w:val="804"/>
    <w:qFormat/>
    <w:rPr>
      <w:sz w:val="21"/>
      <w:szCs w:val="24"/>
      <w:shd w:val="clear" w:color="auto" w:fill="000080"/>
    </w:rPr>
  </w:style>
  <w:style w:type="paragraph" w:styleId="806">
    <w:name w:val="批注文字"/>
    <w:basedOn w:val="777"/>
    <w:next w:val="806"/>
    <w:link w:val="807"/>
    <w:uiPriority w:val="99"/>
    <w:qFormat/>
    <w:pPr>
      <w:jc w:val="left"/>
    </w:pPr>
  </w:style>
  <w:style w:type="character" w:styleId="807">
    <w:name w:val="批注文字 Char1"/>
    <w:next w:val="807"/>
    <w:link w:val="806"/>
    <w:uiPriority w:val="99"/>
    <w:qFormat/>
    <w:rPr>
      <w:sz w:val="21"/>
      <w:szCs w:val="24"/>
    </w:rPr>
  </w:style>
  <w:style w:type="paragraph" w:styleId="808">
    <w:name w:val="正文文本 3"/>
    <w:basedOn w:val="777"/>
    <w:next w:val="808"/>
    <w:link w:val="809"/>
    <w:qFormat/>
    <w:pPr>
      <w:spacing w:after="120"/>
    </w:pPr>
    <w:rPr>
      <w:sz w:val="16"/>
      <w:szCs w:val="16"/>
    </w:rPr>
  </w:style>
  <w:style w:type="character" w:styleId="809">
    <w:name w:val="正文文本 3 Char"/>
    <w:basedOn w:val="787"/>
    <w:next w:val="809"/>
    <w:link w:val="808"/>
    <w:qFormat/>
    <w:rPr>
      <w:sz w:val="16"/>
      <w:szCs w:val="16"/>
    </w:rPr>
  </w:style>
  <w:style w:type="paragraph" w:styleId="810">
    <w:name w:val="正文文本缩进"/>
    <w:basedOn w:val="777"/>
    <w:next w:val="777"/>
    <w:link w:val="811"/>
    <w:qFormat/>
    <w:pPr>
      <w:ind w:firstLine="570"/>
      <w:spacing w:line="360" w:lineRule="auto"/>
    </w:pPr>
    <w:rPr>
      <w:sz w:val="24"/>
    </w:rPr>
  </w:style>
  <w:style w:type="character" w:styleId="811">
    <w:name w:val="正文文本缩进 Char2"/>
    <w:next w:val="811"/>
    <w:link w:val="810"/>
    <w:qFormat/>
    <w:rPr>
      <w:rFonts w:eastAsia="宋体"/>
      <w:sz w:val="24"/>
      <w:szCs w:val="24"/>
      <w:lang w:val="en-US" w:eastAsia="zh-CN" w:bidi="ar-SA"/>
    </w:rPr>
  </w:style>
  <w:style w:type="paragraph" w:styleId="812">
    <w:name w:val="列表 2"/>
    <w:basedOn w:val="777"/>
    <w:next w:val="812"/>
    <w:link w:val="777"/>
    <w:qFormat/>
    <w:pPr>
      <w:ind w:left="100" w:hanging="200"/>
    </w:pPr>
  </w:style>
  <w:style w:type="paragraph" w:styleId="813">
    <w:name w:val="文本块"/>
    <w:basedOn w:val="777"/>
    <w:next w:val="813"/>
    <w:link w:val="777"/>
    <w:qFormat/>
    <w:pPr>
      <w:ind w:left="480" w:right="-341" w:firstLine="513"/>
      <w:widowControl/>
    </w:pPr>
    <w:rPr>
      <w:sz w:val="24"/>
      <w:szCs w:val="20"/>
    </w:rPr>
  </w:style>
  <w:style w:type="paragraph" w:styleId="814">
    <w:name w:val="目录 5"/>
    <w:basedOn w:val="777"/>
    <w:next w:val="777"/>
    <w:link w:val="777"/>
    <w:qFormat/>
    <w:pPr>
      <w:ind w:left="1680"/>
    </w:pPr>
  </w:style>
  <w:style w:type="paragraph" w:styleId="815">
    <w:name w:val="目录 3"/>
    <w:basedOn w:val="777"/>
    <w:next w:val="777"/>
    <w:link w:val="777"/>
    <w:uiPriority w:val="39"/>
    <w:qFormat/>
    <w:pPr>
      <w:ind w:left="840"/>
    </w:pPr>
  </w:style>
  <w:style w:type="paragraph" w:styleId="816">
    <w:name w:val="纯文本"/>
    <w:basedOn w:val="777"/>
    <w:next w:val="793"/>
    <w:link w:val="817"/>
    <w:qFormat/>
    <w:rPr>
      <w:rFonts w:hint="eastAsia" w:ascii="宋体" w:hAnsi="Courier New"/>
      <w:szCs w:val="20"/>
    </w:rPr>
  </w:style>
  <w:style w:type="character" w:styleId="817">
    <w:name w:val="纯文本 Char"/>
    <w:basedOn w:val="787"/>
    <w:next w:val="817"/>
    <w:link w:val="816"/>
    <w:qFormat/>
    <w:rPr>
      <w:rFonts w:hint="eastAsia" w:ascii="宋体" w:hAnsi="Courier New" w:eastAsia="宋体" w:cs="宋体"/>
      <w:sz w:val="21"/>
    </w:rPr>
  </w:style>
  <w:style w:type="paragraph" w:styleId="818">
    <w:name w:val="目录 8"/>
    <w:basedOn w:val="777"/>
    <w:next w:val="777"/>
    <w:link w:val="777"/>
    <w:qFormat/>
    <w:pPr>
      <w:ind w:left="2940"/>
    </w:pPr>
  </w:style>
  <w:style w:type="paragraph" w:styleId="819">
    <w:name w:val="日期"/>
    <w:basedOn w:val="777"/>
    <w:next w:val="777"/>
    <w:link w:val="820"/>
    <w:qFormat/>
    <w:pPr>
      <w:ind w:left="100"/>
    </w:pPr>
    <w:rPr>
      <w:rFonts w:ascii="仿宋_GB2312" w:hAnsi="宋体" w:eastAsia="仿宋_GB2312"/>
      <w:color w:val="000000"/>
      <w:sz w:val="24"/>
    </w:rPr>
  </w:style>
  <w:style w:type="character" w:styleId="820">
    <w:name w:val="日期 Char"/>
    <w:basedOn w:val="787"/>
    <w:next w:val="820"/>
    <w:link w:val="819"/>
    <w:qFormat/>
    <w:rPr>
      <w:rFonts w:ascii="仿宋_GB2312" w:hAnsi="宋体" w:eastAsia="仿宋_GB2312"/>
      <w:color w:val="000000"/>
      <w:sz w:val="24"/>
      <w:szCs w:val="24"/>
    </w:rPr>
  </w:style>
  <w:style w:type="paragraph" w:styleId="821">
    <w:name w:val="正文文本缩进 2"/>
    <w:basedOn w:val="777"/>
    <w:next w:val="821"/>
    <w:link w:val="822"/>
    <w:qFormat/>
    <w:pPr>
      <w:ind w:firstLine="480"/>
    </w:pPr>
    <w:rPr>
      <w:rFonts w:ascii="仿宋_GB2312" w:eastAsia="仿宋_GB2312"/>
      <w:sz w:val="24"/>
    </w:rPr>
  </w:style>
  <w:style w:type="character" w:styleId="822">
    <w:name w:val="正文文本缩进 2 Char"/>
    <w:basedOn w:val="787"/>
    <w:next w:val="822"/>
    <w:link w:val="821"/>
    <w:qFormat/>
    <w:rPr>
      <w:rFonts w:ascii="仿宋_GB2312" w:eastAsia="仿宋_GB2312"/>
      <w:sz w:val="24"/>
      <w:szCs w:val="24"/>
    </w:rPr>
  </w:style>
  <w:style w:type="paragraph" w:styleId="823">
    <w:name w:val="批注框文本"/>
    <w:basedOn w:val="777"/>
    <w:next w:val="823"/>
    <w:link w:val="824"/>
    <w:qFormat/>
    <w:rPr>
      <w:sz w:val="18"/>
      <w:szCs w:val="18"/>
    </w:rPr>
  </w:style>
  <w:style w:type="character" w:styleId="824">
    <w:name w:val="批注框文本 Char"/>
    <w:basedOn w:val="787"/>
    <w:next w:val="824"/>
    <w:link w:val="823"/>
    <w:qFormat/>
    <w:rPr>
      <w:sz w:val="18"/>
      <w:szCs w:val="18"/>
    </w:rPr>
  </w:style>
  <w:style w:type="paragraph" w:styleId="825">
    <w:name w:val="页脚"/>
    <w:basedOn w:val="777"/>
    <w:next w:val="825"/>
    <w:link w:val="826"/>
    <w:uiPriority w:val="99"/>
    <w:qFormat/>
    <w:pPr>
      <w:jc w:val="left"/>
      <w:tabs>
        <w:tab w:val="center" w:pos="4153" w:leader="none"/>
        <w:tab w:val="right" w:pos="8306" w:leader="none"/>
      </w:tabs>
    </w:pPr>
    <w:rPr>
      <w:rFonts w:ascii="宋体"/>
      <w:sz w:val="18"/>
      <w:szCs w:val="20"/>
    </w:rPr>
  </w:style>
  <w:style w:type="character" w:styleId="826">
    <w:name w:val="页脚 Char1"/>
    <w:next w:val="826"/>
    <w:link w:val="825"/>
    <w:uiPriority w:val="99"/>
    <w:qFormat/>
    <w:rPr>
      <w:rFonts w:ascii="宋体" w:eastAsia="宋体"/>
      <w:sz w:val="18"/>
      <w:lang w:val="en-US" w:eastAsia="zh-CN" w:bidi="ar-SA"/>
    </w:rPr>
  </w:style>
  <w:style w:type="paragraph" w:styleId="827">
    <w:name w:val="页眉"/>
    <w:basedOn w:val="777"/>
    <w:next w:val="827"/>
    <w:link w:val="828"/>
    <w:qFormat/>
    <w:pPr>
      <w:jc w:val="center"/>
      <w:tabs>
        <w:tab w:val="center" w:pos="4153" w:leader="none"/>
        <w:tab w:val="right" w:pos="8306" w:leader="none"/>
      </w:tabs>
      <w:pBdr>
        <w:bottom w:val="single" w:color="000000" w:sz="6" w:space="1"/>
      </w:pBdr>
    </w:pPr>
    <w:rPr>
      <w:sz w:val="18"/>
      <w:szCs w:val="18"/>
    </w:rPr>
  </w:style>
  <w:style w:type="character" w:styleId="828">
    <w:name w:val="页眉 Char1"/>
    <w:next w:val="828"/>
    <w:link w:val="827"/>
    <w:qFormat/>
    <w:rPr>
      <w:rFonts w:eastAsia="宋体"/>
      <w:sz w:val="18"/>
      <w:szCs w:val="18"/>
      <w:lang w:val="en-US" w:eastAsia="zh-CN" w:bidi="ar-SA"/>
    </w:rPr>
  </w:style>
  <w:style w:type="paragraph" w:styleId="829">
    <w:name w:val="目录 1"/>
    <w:basedOn w:val="777"/>
    <w:next w:val="777"/>
    <w:link w:val="777"/>
    <w:uiPriority w:val="39"/>
    <w:qFormat/>
    <w:pPr>
      <w:spacing w:line="300" w:lineRule="auto"/>
      <w:tabs>
        <w:tab w:val="left" w:pos="1050" w:leader="none"/>
        <w:tab w:val="right" w:pos="8937" w:leader="dot"/>
      </w:tabs>
    </w:pPr>
    <w:rPr>
      <w:rFonts w:ascii="宋体" w:hAnsi="宋体"/>
      <w:b/>
      <w:sz w:val="24"/>
    </w:rPr>
  </w:style>
  <w:style w:type="paragraph" w:styleId="830">
    <w:name w:val="目录 4"/>
    <w:basedOn w:val="777"/>
    <w:next w:val="777"/>
    <w:link w:val="777"/>
    <w:qFormat/>
    <w:pPr>
      <w:ind w:left="1260"/>
    </w:pPr>
  </w:style>
  <w:style w:type="paragraph" w:styleId="831">
    <w:name w:val="目录 6"/>
    <w:basedOn w:val="777"/>
    <w:next w:val="777"/>
    <w:link w:val="777"/>
    <w:qFormat/>
    <w:pPr>
      <w:ind w:left="2100"/>
    </w:pPr>
  </w:style>
  <w:style w:type="paragraph" w:styleId="832">
    <w:name w:val="正文文本缩进 3"/>
    <w:basedOn w:val="777"/>
    <w:next w:val="832"/>
    <w:link w:val="833"/>
    <w:qFormat/>
    <w:pPr>
      <w:ind w:left="720" w:firstLine="480"/>
      <w:jc w:val="left"/>
      <w:spacing w:before="120" w:line="22" w:lineRule="atLeast"/>
    </w:pPr>
    <w:rPr>
      <w:rFonts w:ascii="宋体"/>
      <w:sz w:val="24"/>
      <w:szCs w:val="20"/>
    </w:rPr>
  </w:style>
  <w:style w:type="character" w:styleId="833">
    <w:name w:val="正文文本缩进 3 Char"/>
    <w:basedOn w:val="787"/>
    <w:next w:val="833"/>
    <w:link w:val="832"/>
    <w:qFormat/>
    <w:rPr>
      <w:rFonts w:ascii="宋体"/>
      <w:sz w:val="24"/>
    </w:rPr>
  </w:style>
  <w:style w:type="paragraph" w:styleId="834">
    <w:name w:val="目录 2"/>
    <w:basedOn w:val="777"/>
    <w:next w:val="777"/>
    <w:link w:val="777"/>
    <w:uiPriority w:val="39"/>
    <w:qFormat/>
    <w:pPr>
      <w:ind w:left="420"/>
      <w:spacing w:line="312" w:lineRule="auto"/>
      <w:tabs>
        <w:tab w:val="right" w:pos="8937" w:leader="dot"/>
      </w:tabs>
    </w:pPr>
  </w:style>
  <w:style w:type="paragraph" w:styleId="835">
    <w:name w:val="目录 9"/>
    <w:basedOn w:val="777"/>
    <w:next w:val="777"/>
    <w:link w:val="777"/>
    <w:qFormat/>
    <w:pPr>
      <w:ind w:left="3360"/>
    </w:pPr>
  </w:style>
  <w:style w:type="paragraph" w:styleId="836">
    <w:name w:val="HTML 预设格式"/>
    <w:basedOn w:val="777"/>
    <w:next w:val="836"/>
    <w:link w:val="8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37">
    <w:name w:val="HTML 预设格式 Char"/>
    <w:basedOn w:val="787"/>
    <w:next w:val="837"/>
    <w:link w:val="836"/>
    <w:qFormat/>
    <w:rPr>
      <w:rFonts w:ascii="宋体" w:hAnsi="宋体" w:cs="宋体"/>
      <w:sz w:val="24"/>
      <w:szCs w:val="24"/>
    </w:rPr>
  </w:style>
  <w:style w:type="paragraph" w:styleId="838">
    <w:name w:val="普通(网站)"/>
    <w:basedOn w:val="777"/>
    <w:next w:val="838"/>
    <w:link w:val="777"/>
    <w:uiPriority w:val="99"/>
    <w:unhideWhenUsed/>
    <w:qFormat/>
    <w:pPr>
      <w:jc w:val="left"/>
      <w:spacing w:before="100" w:beforeAutospacing="1" w:after="100" w:afterAutospacing="1"/>
      <w:widowControl/>
    </w:pPr>
    <w:rPr>
      <w:rFonts w:ascii="宋体" w:hAnsi="宋体" w:cs="宋体"/>
      <w:sz w:val="24"/>
    </w:rPr>
  </w:style>
  <w:style w:type="paragraph" w:styleId="839">
    <w:name w:val="索引 1"/>
    <w:basedOn w:val="777"/>
    <w:next w:val="777"/>
    <w:link w:val="777"/>
    <w:qFormat/>
    <w:rPr>
      <w:szCs w:val="20"/>
    </w:rPr>
  </w:style>
  <w:style w:type="paragraph" w:styleId="840">
    <w:name w:val="标题"/>
    <w:basedOn w:val="777"/>
    <w:next w:val="840"/>
    <w:link w:val="841"/>
    <w:qFormat/>
    <w:pPr>
      <w:jc w:val="center"/>
      <w:outlineLvl w:val="0"/>
    </w:pPr>
    <w:rPr>
      <w:b/>
      <w:sz w:val="32"/>
      <w:szCs w:val="20"/>
    </w:rPr>
  </w:style>
  <w:style w:type="character" w:styleId="841">
    <w:name w:val="标题 Char1"/>
    <w:next w:val="841"/>
    <w:link w:val="840"/>
    <w:qFormat/>
    <w:rPr>
      <w:b/>
      <w:sz w:val="32"/>
    </w:rPr>
  </w:style>
  <w:style w:type="paragraph" w:styleId="842">
    <w:name w:val="批注主题"/>
    <w:basedOn w:val="806"/>
    <w:next w:val="806"/>
    <w:link w:val="843"/>
    <w:qFormat/>
    <w:rPr>
      <w:b/>
      <w:bCs/>
    </w:rPr>
  </w:style>
  <w:style w:type="character" w:styleId="843">
    <w:name w:val="批注主题 Char"/>
    <w:basedOn w:val="844"/>
    <w:next w:val="843"/>
    <w:link w:val="842"/>
    <w:qFormat/>
    <w:rPr>
      <w:rFonts w:ascii="Times New Roman" w:hAnsi="Times New Roman" w:eastAsia="宋体" w:cs="Times New Roman"/>
      <w:b/>
      <w:bCs/>
      <w:sz w:val="21"/>
      <w:szCs w:val="24"/>
      <w:lang w:val="en-US" w:eastAsia="zh-CN" w:bidi="ar-SA"/>
    </w:rPr>
  </w:style>
  <w:style w:type="character" w:styleId="844">
    <w:name w:val="批注文字 字符"/>
    <w:next w:val="844"/>
    <w:link w:val="777"/>
    <w:uiPriority w:val="99"/>
    <w:qFormat/>
    <w:rPr>
      <w:rFonts w:ascii="Times New Roman" w:hAnsi="Times New Roman" w:eastAsia="宋体" w:cs="Times New Roman"/>
      <w:sz w:val="24"/>
      <w:lang w:val="en-US" w:eastAsia="zh-CN" w:bidi="ar-SA"/>
    </w:rPr>
  </w:style>
  <w:style w:type="paragraph" w:styleId="845">
    <w:name w:val="正文首行缩进 2"/>
    <w:basedOn w:val="810"/>
    <w:next w:val="777"/>
    <w:link w:val="846"/>
    <w:qFormat/>
    <w:pPr>
      <w:ind w:left="420" w:firstLine="420"/>
      <w:spacing w:after="120" w:line="480" w:lineRule="exact"/>
    </w:pPr>
    <w:rPr>
      <w:szCs w:val="20"/>
    </w:rPr>
  </w:style>
  <w:style w:type="character" w:styleId="846">
    <w:name w:val="正文首行缩进 2 Char"/>
    <w:basedOn w:val="811"/>
    <w:next w:val="846"/>
    <w:link w:val="845"/>
    <w:qFormat/>
    <w:rPr>
      <w:rFonts w:eastAsia="宋体"/>
      <w:sz w:val="24"/>
      <w:szCs w:val="24"/>
      <w:lang w:val="en-US" w:eastAsia="zh-CN" w:bidi="ar-SA"/>
    </w:rPr>
  </w:style>
  <w:style w:type="table" w:styleId="847">
    <w:name w:val="网格型"/>
    <w:basedOn w:val="788"/>
    <w:next w:val="847"/>
    <w:link w:val="777"/>
    <w:uiPriority w:val="39"/>
    <w:qFormat/>
    <w:tblPr/>
  </w:style>
  <w:style w:type="table" w:styleId="848">
    <w:name w:val="中等深浅网格 1 - 强调文字颜色 2"/>
    <w:basedOn w:val="788"/>
    <w:next w:val="848"/>
    <w:link w:val="777"/>
    <w:qFormat/>
    <w:rPr>
      <w:sz w:val="21"/>
      <w:szCs w:val="24"/>
    </w:rPr>
    <w:tblPr/>
  </w:style>
  <w:style w:type="character" w:styleId="849">
    <w:name w:val="要点"/>
    <w:next w:val="849"/>
    <w:link w:val="777"/>
    <w:qFormat/>
    <w:rPr>
      <w:b/>
      <w:bCs/>
    </w:rPr>
  </w:style>
  <w:style w:type="character" w:styleId="850">
    <w:name w:val="页码"/>
    <w:basedOn w:val="787"/>
    <w:next w:val="850"/>
    <w:link w:val="777"/>
    <w:qFormat/>
  </w:style>
  <w:style w:type="character" w:styleId="851">
    <w:name w:val="已访问的超链接"/>
    <w:next w:val="851"/>
    <w:link w:val="777"/>
    <w:qFormat/>
    <w:rPr>
      <w:color w:val="800080"/>
      <w:u w:val="single"/>
    </w:rPr>
  </w:style>
  <w:style w:type="character" w:styleId="852">
    <w:name w:val="强调"/>
    <w:next w:val="852"/>
    <w:link w:val="777"/>
    <w:qFormat/>
    <w:rPr>
      <w:color w:val="cc0033"/>
    </w:rPr>
  </w:style>
  <w:style w:type="character" w:styleId="853">
    <w:name w:val="超链接"/>
    <w:next w:val="853"/>
    <w:link w:val="777"/>
    <w:uiPriority w:val="99"/>
    <w:qFormat/>
    <w:rPr>
      <w:color w:val="0000ff"/>
      <w:u w:val="single"/>
    </w:rPr>
  </w:style>
  <w:style w:type="character" w:styleId="854">
    <w:name w:val="批注引用"/>
    <w:next w:val="854"/>
    <w:link w:val="777"/>
    <w:uiPriority w:val="99"/>
    <w:qFormat/>
    <w:rPr>
      <w:sz w:val="21"/>
      <w:szCs w:val="21"/>
    </w:rPr>
  </w:style>
  <w:style w:type="character" w:styleId="855">
    <w:name w:val="HTML 引文"/>
    <w:next w:val="855"/>
    <w:link w:val="777"/>
    <w:qFormat/>
    <w:rPr>
      <w:i/>
      <w:iCs/>
    </w:rPr>
  </w:style>
  <w:style w:type="paragraph" w:styleId="856">
    <w:name w:val="标题 31"/>
    <w:basedOn w:val="777"/>
    <w:next w:val="777"/>
    <w:link w:val="777"/>
    <w:qFormat/>
    <w:pPr>
      <w:jc w:val="left"/>
      <w:keepLines/>
      <w:keepNext/>
      <w:spacing w:before="360" w:after="120"/>
      <w:outlineLvl w:val="2"/>
    </w:pPr>
    <w:rPr>
      <w:rFonts w:ascii="宋体"/>
      <w:b/>
      <w:sz w:val="24"/>
      <w:szCs w:val="20"/>
      <w:u w:val="single"/>
    </w:rPr>
  </w:style>
  <w:style w:type="paragraph" w:styleId="857">
    <w:name w:val="正文首行缩进 21"/>
    <w:basedOn w:val="858"/>
    <w:next w:val="777"/>
    <w:link w:val="777"/>
    <w:qFormat/>
    <w:pPr>
      <w:ind w:left="420" w:firstLine="420"/>
      <w:spacing w:after="120" w:line="480" w:lineRule="exact"/>
    </w:pPr>
    <w:rPr>
      <w:szCs w:val="20"/>
    </w:rPr>
  </w:style>
  <w:style w:type="paragraph" w:styleId="858">
    <w:name w:val="正文文本缩进11"/>
    <w:basedOn w:val="777"/>
    <w:next w:val="859"/>
    <w:link w:val="777"/>
    <w:qFormat/>
    <w:pPr>
      <w:ind w:firstLine="570"/>
      <w:spacing w:line="360" w:lineRule="auto"/>
    </w:pPr>
    <w:rPr>
      <w:sz w:val="24"/>
    </w:rPr>
  </w:style>
  <w:style w:type="paragraph" w:styleId="859">
    <w:name w:val="寄信人地址1"/>
    <w:basedOn w:val="777"/>
    <w:next w:val="859"/>
    <w:link w:val="777"/>
    <w:qFormat/>
    <w:rPr>
      <w:rFonts w:ascii="Arial" w:hAnsi="Arial"/>
    </w:rPr>
  </w:style>
  <w:style w:type="character" w:styleId="860">
    <w:name w:val="c21"/>
    <w:next w:val="860"/>
    <w:link w:val="777"/>
    <w:qFormat/>
    <w:rPr>
      <w:rFonts w:ascii="ˎ̥" w:hAnsi="ˎ̥"/>
      <w:color w:val="000000"/>
      <w:sz w:val="20"/>
      <w:szCs w:val="20"/>
      <w:u w:val="none"/>
    </w:rPr>
  </w:style>
  <w:style w:type="character" w:styleId="861">
    <w:name w:val="title4"/>
    <w:next w:val="861"/>
    <w:link w:val="777"/>
    <w:qFormat/>
    <w:rPr>
      <w:b/>
      <w:bCs/>
      <w:color w:val="1d87b3"/>
      <w:sz w:val="15"/>
      <w:szCs w:val="15"/>
    </w:rPr>
  </w:style>
  <w:style w:type="character" w:styleId="862">
    <w:name w:val="标题 2 Char Char"/>
    <w:next w:val="862"/>
    <w:link w:val="777"/>
    <w:qFormat/>
    <w:rPr>
      <w:rFonts w:ascii="Arial" w:hAnsi="Arial" w:eastAsia="黑体"/>
      <w:b/>
      <w:bCs/>
      <w:sz w:val="32"/>
      <w:szCs w:val="32"/>
      <w:lang w:val="en-US" w:eastAsia="zh-CN" w:bidi="ar-SA"/>
    </w:rPr>
  </w:style>
  <w:style w:type="character" w:styleId="863">
    <w:name w:val="black1"/>
    <w:next w:val="863"/>
    <w:link w:val="777"/>
    <w:qFormat/>
    <w:rPr>
      <w:color w:val="000000"/>
    </w:rPr>
  </w:style>
  <w:style w:type="character" w:styleId="864">
    <w:name w:val="street-address"/>
    <w:basedOn w:val="787"/>
    <w:next w:val="864"/>
    <w:link w:val="777"/>
    <w:qFormat/>
  </w:style>
  <w:style w:type="character" w:styleId="865">
    <w:name w:val="locality"/>
    <w:basedOn w:val="787"/>
    <w:next w:val="865"/>
    <w:link w:val="777"/>
    <w:qFormat/>
  </w:style>
  <w:style w:type="character" w:styleId="866">
    <w:name w:val="正文文本缩进 Char1"/>
    <w:next w:val="866"/>
    <w:link w:val="867"/>
    <w:qFormat/>
    <w:rPr>
      <w:rFonts w:ascii="宋体" w:hAnsi="宋体" w:eastAsia="宋体"/>
      <w:sz w:val="24"/>
      <w:szCs w:val="24"/>
      <w:lang w:bidi="ar-SA"/>
    </w:rPr>
  </w:style>
  <w:style w:type="paragraph" w:styleId="867">
    <w:name w:val="正文文本缩进1"/>
    <w:basedOn w:val="777"/>
    <w:next w:val="867"/>
    <w:link w:val="866"/>
    <w:qFormat/>
    <w:pPr>
      <w:ind w:firstLine="480"/>
      <w:spacing w:line="480" w:lineRule="exact"/>
    </w:pPr>
    <w:rPr>
      <w:rFonts w:ascii="宋体" w:hAnsi="宋体"/>
      <w:sz w:val="24"/>
    </w:rPr>
  </w:style>
  <w:style w:type="character" w:styleId="868">
    <w:name w:val="Char Char11"/>
    <w:next w:val="868"/>
    <w:link w:val="777"/>
    <w:qFormat/>
    <w:rPr>
      <w:rFonts w:ascii="宋体" w:eastAsia="宋体"/>
      <w:b/>
      <w:sz w:val="24"/>
      <w:u w:val="single"/>
      <w:lang w:val="en-US" w:eastAsia="zh-CN" w:bidi="ar-SA"/>
    </w:rPr>
  </w:style>
  <w:style w:type="character" w:styleId="869">
    <w:name w:val="txt"/>
    <w:basedOn w:val="787"/>
    <w:next w:val="869"/>
    <w:link w:val="777"/>
    <w:qFormat/>
  </w:style>
  <w:style w:type="character" w:styleId="870">
    <w:name w:val="正文缩进 Char Char"/>
    <w:next w:val="870"/>
    <w:link w:val="871"/>
    <w:qFormat/>
    <w:rPr>
      <w:rFonts w:ascii="宋体" w:eastAsia="宋体"/>
      <w:color w:val="000000"/>
      <w:sz w:val="28"/>
      <w:lang w:bidi="ar-SA"/>
    </w:rPr>
  </w:style>
  <w:style w:type="paragraph" w:styleId="871">
    <w:name w:val="正文缩进1"/>
    <w:basedOn w:val="777"/>
    <w:next w:val="871"/>
    <w:link w:val="870"/>
    <w:qFormat/>
    <w:pPr>
      <w:ind w:firstLine="567"/>
      <w:spacing w:line="480" w:lineRule="exact"/>
      <w:widowControl/>
    </w:pPr>
    <w:rPr>
      <w:rFonts w:ascii="宋体"/>
      <w:color w:val="000000"/>
      <w:sz w:val="28"/>
      <w:szCs w:val="20"/>
    </w:rPr>
  </w:style>
  <w:style w:type="character" w:styleId="872">
    <w:name w:val="普通文字1 Char1"/>
    <w:next w:val="872"/>
    <w:link w:val="777"/>
    <w:qFormat/>
    <w:rPr>
      <w:rFonts w:ascii="宋体" w:hAnsi="Courier New" w:eastAsia="宋体"/>
      <w:sz w:val="21"/>
      <w:lang w:val="en-US" w:eastAsia="zh-CN" w:bidi="ar-SA"/>
    </w:rPr>
  </w:style>
  <w:style w:type="character" w:styleId="873">
    <w:name w:val="chanpin1"/>
    <w:next w:val="873"/>
    <w:link w:val="777"/>
    <w:qFormat/>
    <w:rPr>
      <w:rFonts w:ascii="ˎ̥" w:hAnsi="ˎ̥"/>
      <w:color w:val="000000"/>
      <w:sz w:val="20"/>
      <w:szCs w:val="20"/>
      <w:u w:val="none"/>
    </w:rPr>
  </w:style>
  <w:style w:type="character" w:styleId="874">
    <w:name w:val="列出段落 Char1"/>
    <w:next w:val="874"/>
    <w:link w:val="875"/>
    <w:uiPriority w:val="34"/>
    <w:qFormat/>
    <w:rPr>
      <w:rFonts w:ascii="Calibri" w:hAnsi="Calibri" w:eastAsia="宋体"/>
      <w:sz w:val="21"/>
      <w:szCs w:val="22"/>
      <w:lang w:val="en-US" w:eastAsia="zh-CN" w:bidi="ar-SA"/>
    </w:rPr>
  </w:style>
  <w:style w:type="paragraph" w:styleId="875">
    <w:name w:val="列出段落"/>
    <w:basedOn w:val="777"/>
    <w:next w:val="875"/>
    <w:link w:val="874"/>
    <w:uiPriority w:val="34"/>
    <w:qFormat/>
    <w:pPr>
      <w:ind w:firstLine="420"/>
    </w:pPr>
    <w:rPr>
      <w:rFonts w:ascii="Calibri" w:hAnsi="Calibri"/>
      <w:szCs w:val="22"/>
    </w:rPr>
  </w:style>
  <w:style w:type="character" w:styleId="876">
    <w:name w:val="标题 3 Char Char"/>
    <w:next w:val="876"/>
    <w:link w:val="777"/>
    <w:qFormat/>
    <w:rPr>
      <w:rFonts w:eastAsia="宋体"/>
      <w:b/>
      <w:bCs/>
      <w:sz w:val="32"/>
      <w:szCs w:val="32"/>
      <w:lang w:val="en-US" w:eastAsia="zh-CN" w:bidi="ar-SA"/>
    </w:rPr>
  </w:style>
  <w:style w:type="character" w:styleId="877">
    <w:name w:val="段1 Char"/>
    <w:next w:val="877"/>
    <w:link w:val="777"/>
    <w:qFormat/>
    <w:rPr>
      <w:rFonts w:ascii="宋体" w:eastAsia="宋体"/>
      <w:sz w:val="24"/>
      <w:lang w:val="en-US" w:eastAsia="zh-CN" w:bidi="ar-SA"/>
    </w:rPr>
  </w:style>
  <w:style w:type="character" w:styleId="878">
    <w:name w:val="chanpin拷贝"/>
    <w:basedOn w:val="787"/>
    <w:next w:val="878"/>
    <w:link w:val="777"/>
    <w:qFormat/>
  </w:style>
  <w:style w:type="character" w:styleId="879">
    <w:name w:val="纯文本 Char1"/>
    <w:next w:val="879"/>
    <w:link w:val="777"/>
    <w:qFormat/>
    <w:rPr>
      <w:rFonts w:ascii="宋体" w:hAnsi="Courier New" w:eastAsia="宋体"/>
      <w:sz w:val="21"/>
      <w:lang w:val="en-US" w:eastAsia="zh-CN" w:bidi="ar-SA"/>
    </w:rPr>
  </w:style>
  <w:style w:type="character" w:styleId="880">
    <w:name w:val="apple-style-span"/>
    <w:next w:val="880"/>
    <w:link w:val="777"/>
    <w:qFormat/>
    <w:rPr>
      <w:rFonts w:cs="Times New Roman"/>
    </w:rPr>
  </w:style>
  <w:style w:type="paragraph" w:styleId="881">
    <w:name w:val="二级条标题"/>
    <w:basedOn w:val="882"/>
    <w:next w:val="777"/>
    <w:link w:val="777"/>
    <w:qFormat/>
    <w:pPr>
      <w:numPr>
        <w:ilvl w:val="0"/>
        <w:numId w:val="0"/>
      </w:numPr>
      <w:ind w:hanging="840"/>
      <w:tabs>
        <w:tab w:val="left" w:pos="360" w:leader="none"/>
        <w:tab w:val="left" w:pos="840" w:leader="none"/>
      </w:tabs>
      <w:outlineLvl w:val="2"/>
    </w:pPr>
    <w:rPr>
      <w:rFonts w:ascii="宋体" w:eastAsia="宋体"/>
      <w:b w:val="0"/>
    </w:rPr>
  </w:style>
  <w:style w:type="paragraph" w:styleId="882">
    <w:name w:val="一级条标题"/>
    <w:basedOn w:val="883"/>
    <w:next w:val="777"/>
    <w:link w:val="777"/>
    <w:qFormat/>
    <w:pPr>
      <w:numPr>
        <w:ilvl w:val="1"/>
      </w:numPr>
      <w:ind w:left="0" w:hanging="840"/>
      <w:tabs>
        <w:tab w:val="left" w:pos="360" w:leader="none"/>
        <w:tab w:val="left" w:pos="840" w:leader="none"/>
      </w:tabs>
      <w:outlineLvl w:val="1"/>
    </w:pPr>
  </w:style>
  <w:style w:type="paragraph" w:styleId="883">
    <w:name w:val="章标题"/>
    <w:next w:val="777"/>
    <w:link w:val="77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4">
    <w:name w:val="font7"/>
    <w:basedOn w:val="777"/>
    <w:next w:val="884"/>
    <w:link w:val="777"/>
    <w:qFormat/>
    <w:pPr>
      <w:jc w:val="left"/>
      <w:spacing w:before="100" w:beforeAutospacing="1" w:after="100" w:afterAutospacing="1"/>
      <w:widowControl/>
    </w:pPr>
    <w:rPr>
      <w:rFonts w:eastAsia="Arial Unicode MS"/>
      <w:b/>
      <w:bCs/>
      <w:color w:val="000000"/>
      <w:sz w:val="20"/>
      <w:szCs w:val="20"/>
    </w:rPr>
  </w:style>
  <w:style w:type="paragraph" w:styleId="885">
    <w:name w:val="字元 字元"/>
    <w:basedOn w:val="777"/>
    <w:next w:val="885"/>
    <w:link w:val="777"/>
    <w:qFormat/>
    <w:rPr>
      <w:rFonts w:ascii="Tahoma" w:hAnsi="Tahoma"/>
      <w:sz w:val="24"/>
      <w:szCs w:val="20"/>
    </w:rPr>
  </w:style>
  <w:style w:type="paragraph" w:styleId="886">
    <w:name w:val="Char3 Char Char Char"/>
    <w:basedOn w:val="777"/>
    <w:next w:val="886"/>
    <w:link w:val="777"/>
    <w:qFormat/>
    <w:rPr>
      <w:rFonts w:ascii="Tahoma" w:hAnsi="Tahoma"/>
      <w:sz w:val="24"/>
      <w:szCs w:val="20"/>
    </w:rPr>
  </w:style>
  <w:style w:type="paragraph" w:styleId="887">
    <w:name w:val="font6"/>
    <w:basedOn w:val="777"/>
    <w:next w:val="887"/>
    <w:link w:val="777"/>
    <w:qFormat/>
    <w:pPr>
      <w:jc w:val="left"/>
      <w:spacing w:before="100" w:beforeAutospacing="1" w:after="100" w:afterAutospacing="1"/>
      <w:widowControl/>
    </w:pPr>
    <w:rPr>
      <w:rFonts w:ascii="宋体" w:hAnsi="宋体" w:cs="宋体"/>
      <w:sz w:val="20"/>
      <w:szCs w:val="20"/>
    </w:rPr>
  </w:style>
  <w:style w:type="paragraph" w:styleId="888">
    <w:name w:val="项目编号2"/>
    <w:basedOn w:val="889"/>
    <w:next w:val="888"/>
    <w:link w:val="777"/>
    <w:qFormat/>
    <w:pPr>
      <w:numPr>
        <w:numId w:val="3"/>
      </w:numPr>
    </w:pPr>
  </w:style>
  <w:style w:type="paragraph" w:styleId="889">
    <w:name w:val="项目编号1"/>
    <w:basedOn w:val="777"/>
    <w:next w:val="889"/>
    <w:link w:val="777"/>
    <w:qFormat/>
    <w:pPr>
      <w:numPr>
        <w:ilvl w:val="0"/>
        <w:numId w:val="2"/>
      </w:numPr>
      <w:spacing w:before="100" w:beforeAutospacing="1" w:after="100" w:afterAutospacing="1" w:line="360" w:lineRule="auto"/>
    </w:pPr>
    <w:rPr>
      <w:sz w:val="24"/>
    </w:rPr>
  </w:style>
  <w:style w:type="paragraph" w:styleId="890">
    <w:name w:val="图中文字"/>
    <w:basedOn w:val="777"/>
    <w:next w:val="890"/>
    <w:link w:val="777"/>
    <w:qFormat/>
    <w:pPr>
      <w:jc w:val="center"/>
      <w:spacing w:line="0" w:lineRule="atLeast"/>
    </w:pPr>
    <w:rPr>
      <w:sz w:val="24"/>
      <w:szCs w:val="20"/>
    </w:rPr>
  </w:style>
  <w:style w:type="paragraph" w:styleId="891">
    <w:name w:val="xl46"/>
    <w:basedOn w:val="777"/>
    <w:next w:val="891"/>
    <w:link w:val="77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2">
    <w:name w:val="xl25"/>
    <w:basedOn w:val="777"/>
    <w:next w:val="892"/>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3">
    <w:name w:val="Char2"/>
    <w:basedOn w:val="777"/>
    <w:next w:val="893"/>
    <w:link w:val="777"/>
    <w:qFormat/>
    <w:rPr>
      <w:rFonts w:ascii="Tahoma" w:hAnsi="Tahoma"/>
      <w:sz w:val="24"/>
      <w:szCs w:val="20"/>
    </w:rPr>
  </w:style>
  <w:style w:type="paragraph" w:styleId="894">
    <w:name w:val="xl35"/>
    <w:basedOn w:val="777"/>
    <w:next w:val="894"/>
    <w:link w:val="77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5">
    <w:name w:val="xl40"/>
    <w:basedOn w:val="777"/>
    <w:next w:val="895"/>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6">
    <w:name w:val="xl52"/>
    <w:basedOn w:val="777"/>
    <w:next w:val="896"/>
    <w:link w:val="7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7">
    <w:name w:val="xl43"/>
    <w:basedOn w:val="777"/>
    <w:next w:val="897"/>
    <w:link w:val="77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8">
    <w:name w:val="background1"/>
    <w:basedOn w:val="777"/>
    <w:next w:val="898"/>
    <w:link w:val="777"/>
    <w:qFormat/>
    <w:pPr>
      <w:jc w:val="left"/>
      <w:spacing w:before="100" w:beforeAutospacing="1" w:after="100" w:afterAutospacing="1"/>
      <w:widowControl/>
    </w:pPr>
    <w:rPr>
      <w:rFonts w:ascii="宋体" w:hAnsi="宋体" w:cs="宋体"/>
      <w:sz w:val="24"/>
    </w:rPr>
  </w:style>
  <w:style w:type="paragraph" w:styleId="899">
    <w:name w:val="Char Char Char Char Char Char Char"/>
    <w:basedOn w:val="777"/>
    <w:next w:val="899"/>
    <w:link w:val="777"/>
    <w:qFormat/>
    <w:pPr>
      <w:ind w:firstLine="200"/>
      <w:spacing w:line="360" w:lineRule="auto"/>
    </w:pPr>
    <w:rPr>
      <w:rFonts w:eastAsia="仿宋_GB2312"/>
      <w:sz w:val="24"/>
    </w:rPr>
  </w:style>
  <w:style w:type="paragraph" w:styleId="900">
    <w:name w:val="xl38"/>
    <w:basedOn w:val="777"/>
    <w:next w:val="900"/>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01">
    <w:name w:val="xl36"/>
    <w:basedOn w:val="777"/>
    <w:next w:val="901"/>
    <w:link w:val="77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2">
    <w:name w:val="正文 + 宋体"/>
    <w:basedOn w:val="777"/>
    <w:next w:val="902"/>
    <w:link w:val="777"/>
    <w:qFormat/>
    <w:pPr>
      <w:ind w:left="360" w:hanging="360"/>
      <w:jc w:val="left"/>
      <w:widowControl/>
    </w:pPr>
    <w:rPr>
      <w:rFonts w:ascii="宋体" w:hAnsi="宋体" w:cs="宋体"/>
      <w:b/>
      <w:bCs/>
      <w:color w:val="000000"/>
      <w:sz w:val="18"/>
      <w:szCs w:val="18"/>
    </w:rPr>
  </w:style>
  <w:style w:type="paragraph" w:styleId="903">
    <w:name w:val="正文列项_数字"/>
    <w:basedOn w:val="777"/>
    <w:next w:val="903"/>
    <w:link w:val="777"/>
    <w:qFormat/>
    <w:pPr>
      <w:numPr>
        <w:ilvl w:val="7"/>
        <w:numId w:val="1"/>
      </w:numPr>
      <w:ind w:left="680" w:hanging="150"/>
      <w:spacing w:line="460" w:lineRule="exact"/>
      <w:tabs>
        <w:tab w:val="clear" w:pos="860" w:leader="none"/>
      </w:tabs>
      <w:outlineLvl w:val="7"/>
    </w:pPr>
    <w:rPr>
      <w:rFonts w:ascii="宋体"/>
      <w:sz w:val="28"/>
      <w:szCs w:val="20"/>
    </w:rPr>
  </w:style>
  <w:style w:type="paragraph" w:styleId="904">
    <w:name w:val="xl39"/>
    <w:basedOn w:val="777"/>
    <w:next w:val="904"/>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5">
    <w:name w:val="xl37"/>
    <w:basedOn w:val="777"/>
    <w:next w:val="905"/>
    <w:link w:val="77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6">
    <w:name w:val="xl32"/>
    <w:basedOn w:val="777"/>
    <w:next w:val="906"/>
    <w:link w:val="7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7">
    <w:name w:val="font8"/>
    <w:basedOn w:val="777"/>
    <w:next w:val="907"/>
    <w:link w:val="777"/>
    <w:qFormat/>
    <w:pPr>
      <w:jc w:val="left"/>
      <w:spacing w:before="100" w:beforeAutospacing="1" w:after="100" w:afterAutospacing="1"/>
      <w:widowControl/>
    </w:pPr>
    <w:rPr>
      <w:sz w:val="36"/>
      <w:szCs w:val="36"/>
    </w:rPr>
  </w:style>
  <w:style w:type="paragraph" w:styleId="908">
    <w:name w:val="Char"/>
    <w:basedOn w:val="777"/>
    <w:next w:val="908"/>
    <w:link w:val="777"/>
    <w:qFormat/>
    <w:pPr>
      <w:tabs>
        <w:tab w:val="left" w:pos="360" w:leader="none"/>
      </w:tabs>
    </w:pPr>
    <w:rPr>
      <w:sz w:val="24"/>
    </w:rPr>
  </w:style>
  <w:style w:type="paragraph" w:styleId="909">
    <w:name w:val="Char Char Char Char Char Char Char Char Char Char Char Char Char Char Char Char"/>
    <w:basedOn w:val="777"/>
    <w:next w:val="909"/>
    <w:link w:val="777"/>
    <w:qFormat/>
    <w:pPr>
      <w:jc w:val="center"/>
      <w:spacing w:after="160" w:line="240" w:lineRule="exact"/>
      <w:widowControl/>
    </w:pPr>
    <w:rPr>
      <w:rFonts w:ascii="宋体" w:hAnsi="宋体"/>
      <w:b/>
      <w:sz w:val="30"/>
      <w:szCs w:val="30"/>
      <w:lang w:eastAsia="en-US"/>
    </w:rPr>
  </w:style>
  <w:style w:type="paragraph" w:styleId="910">
    <w:name w:val="xl45"/>
    <w:basedOn w:val="777"/>
    <w:next w:val="910"/>
    <w:link w:val="77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1">
    <w:name w:val="Char Char1 Char Char Char Char Char Char"/>
    <w:basedOn w:val="777"/>
    <w:next w:val="911"/>
    <w:link w:val="777"/>
    <w:qFormat/>
    <w:pPr>
      <w:jc w:val="left"/>
      <w:spacing w:after="160" w:line="240" w:lineRule="exact"/>
      <w:widowControl/>
    </w:pPr>
    <w:rPr>
      <w:rFonts w:ascii="Verdana" w:hAnsi="Verdana" w:eastAsia="仿宋_GB2312"/>
      <w:sz w:val="24"/>
      <w:szCs w:val="20"/>
      <w:lang w:eastAsia="en-US"/>
    </w:rPr>
  </w:style>
  <w:style w:type="paragraph" w:styleId="912">
    <w:name w:val="Char Char1"/>
    <w:basedOn w:val="804"/>
    <w:next w:val="912"/>
    <w:link w:val="777"/>
    <w:qFormat/>
    <w:rPr>
      <w:rFonts w:ascii="Tahoma" w:hAnsi="Tahoma"/>
      <w:sz w:val="24"/>
    </w:rPr>
  </w:style>
  <w:style w:type="paragraph" w:styleId="913">
    <w:name w:val="xl26"/>
    <w:basedOn w:val="777"/>
    <w:next w:val="913"/>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14">
    <w:name w:val="xl30"/>
    <w:basedOn w:val="777"/>
    <w:next w:val="914"/>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5">
    <w:name w:val="xl41"/>
    <w:basedOn w:val="777"/>
    <w:next w:val="915"/>
    <w:link w:val="77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6">
    <w:name w:val="样式 宋体 五号 行距: 单倍行距"/>
    <w:basedOn w:val="777"/>
    <w:next w:val="916"/>
    <w:link w:val="777"/>
    <w:qFormat/>
    <w:pPr>
      <w:jc w:val="left"/>
    </w:pPr>
    <w:rPr>
      <w:rFonts w:ascii="宋体" w:hAnsi="宋体"/>
      <w:szCs w:val="20"/>
    </w:rPr>
  </w:style>
  <w:style w:type="paragraph" w:styleId="917">
    <w:name w:val="Char1 Char Char Char1"/>
    <w:basedOn w:val="777"/>
    <w:next w:val="917"/>
    <w:link w:val="777"/>
    <w:qFormat/>
    <w:rPr>
      <w:rFonts w:ascii="Tahoma" w:hAnsi="Tahoma" w:cs="仿宋_GB2312"/>
      <w:sz w:val="24"/>
      <w:szCs w:val="28"/>
    </w:rPr>
  </w:style>
  <w:style w:type="paragraph" w:styleId="918">
    <w:name w:val="四级条标题"/>
    <w:basedOn w:val="919"/>
    <w:next w:val="777"/>
    <w:link w:val="777"/>
    <w:qFormat/>
    <w:pPr>
      <w:numPr>
        <w:ilvl w:val="4"/>
      </w:numPr>
      <w:ind w:left="0" w:hanging="840"/>
      <w:tabs>
        <w:tab w:val="left" w:pos="360" w:leader="none"/>
        <w:tab w:val="left" w:pos="840" w:leader="none"/>
      </w:tabs>
      <w:outlineLvl w:val="4"/>
    </w:pPr>
  </w:style>
  <w:style w:type="paragraph" w:styleId="919">
    <w:name w:val="三级条标题"/>
    <w:basedOn w:val="881"/>
    <w:next w:val="777"/>
    <w:link w:val="777"/>
    <w:qFormat/>
    <w:pPr>
      <w:numPr>
        <w:ilvl w:val="3"/>
        <w:numId w:val="1"/>
      </w:numPr>
      <w:ind w:left="0" w:hanging="840"/>
      <w:tabs>
        <w:tab w:val="left" w:pos="360" w:leader="none"/>
        <w:tab w:val="left" w:pos="840" w:leader="none"/>
      </w:tabs>
      <w:outlineLvl w:val="3"/>
    </w:pPr>
  </w:style>
  <w:style w:type="paragraph" w:styleId="920">
    <w:name w:val="??"/>
    <w:next w:val="920"/>
    <w:link w:val="777"/>
    <w:qFormat/>
    <w:pPr>
      <w:jc w:val="both"/>
      <w:widowControl w:val="off"/>
    </w:pPr>
    <w:rPr>
      <w:sz w:val="21"/>
      <w:lang w:val="en-US" w:eastAsia="en-US" w:bidi="ar-SA"/>
    </w:rPr>
  </w:style>
  <w:style w:type="paragraph" w:styleId="921">
    <w:name w:val="样式 标题 2 + 宋体 五号 行距: 单倍行距"/>
    <w:basedOn w:val="779"/>
    <w:next w:val="921"/>
    <w:link w:val="77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22">
    <w:name w:val="List Paragraph1"/>
    <w:basedOn w:val="777"/>
    <w:next w:val="922"/>
    <w:link w:val="777"/>
    <w:qFormat/>
    <w:pPr>
      <w:ind w:firstLine="420"/>
    </w:pPr>
    <w:rPr>
      <w:rFonts w:ascii="Calibri" w:hAnsi="Calibri"/>
      <w:szCs w:val="22"/>
    </w:rPr>
  </w:style>
  <w:style w:type="paragraph" w:styleId="923">
    <w:name w:val="项目符号1"/>
    <w:basedOn w:val="924"/>
    <w:next w:val="923"/>
    <w:link w:val="777"/>
    <w:qFormat/>
    <w:pPr>
      <w:ind w:left="-25" w:firstLine="0"/>
    </w:pPr>
  </w:style>
  <w:style w:type="paragraph" w:styleId="924">
    <w:name w:val="正文文本样式"/>
    <w:basedOn w:val="777"/>
    <w:next w:val="924"/>
    <w:link w:val="777"/>
    <w:qFormat/>
    <w:pPr>
      <w:ind w:firstLine="482"/>
      <w:spacing w:line="360" w:lineRule="auto"/>
    </w:pPr>
    <w:rPr>
      <w:rFonts w:cs="宋体"/>
      <w:sz w:val="24"/>
      <w:szCs w:val="20"/>
    </w:rPr>
  </w:style>
  <w:style w:type="paragraph" w:styleId="925">
    <w:name w:val="xl27"/>
    <w:basedOn w:val="777"/>
    <w:next w:val="925"/>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6">
    <w:name w:val="font5"/>
    <w:basedOn w:val="777"/>
    <w:next w:val="926"/>
    <w:link w:val="777"/>
    <w:qFormat/>
    <w:pPr>
      <w:jc w:val="left"/>
      <w:spacing w:before="100" w:beforeAutospacing="1" w:after="100" w:afterAutospacing="1"/>
      <w:widowControl/>
    </w:pPr>
    <w:rPr>
      <w:rFonts w:ascii="宋体" w:hAnsi="宋体" w:cs="宋体"/>
      <w:sz w:val="18"/>
      <w:szCs w:val="18"/>
    </w:rPr>
  </w:style>
  <w:style w:type="paragraph" w:styleId="927">
    <w:name w:val="五级条标题"/>
    <w:basedOn w:val="918"/>
    <w:next w:val="777"/>
    <w:link w:val="777"/>
    <w:qFormat/>
    <w:pPr>
      <w:numPr>
        <w:ilvl w:val="5"/>
      </w:numPr>
      <w:ind w:left="0" w:hanging="840"/>
      <w:tabs>
        <w:tab w:val="left" w:pos="360" w:leader="none"/>
        <w:tab w:val="left" w:pos="840" w:leader="none"/>
      </w:tabs>
      <w:outlineLvl w:val="5"/>
    </w:pPr>
  </w:style>
  <w:style w:type="paragraph" w:styleId="928">
    <w:name w:val="xl49"/>
    <w:basedOn w:val="777"/>
    <w:next w:val="928"/>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29">
    <w:name w:val="文档正文"/>
    <w:basedOn w:val="777"/>
    <w:next w:val="929"/>
    <w:link w:val="777"/>
    <w:qFormat/>
    <w:pPr>
      <w:spacing w:before="120" w:after="120" w:line="180" w:lineRule="auto"/>
    </w:pPr>
    <w:rPr>
      <w:rFonts w:ascii="Arial" w:hAnsi="Arial"/>
      <w:szCs w:val="20"/>
    </w:rPr>
  </w:style>
  <w:style w:type="paragraph" w:styleId="930">
    <w:name w:val="xl33"/>
    <w:basedOn w:val="777"/>
    <w:next w:val="930"/>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1">
    <w:name w:val="xl42"/>
    <w:basedOn w:val="777"/>
    <w:next w:val="931"/>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32">
    <w:name w:val="Char Char Char1 Char"/>
    <w:basedOn w:val="777"/>
    <w:next w:val="932"/>
    <w:link w:val="777"/>
    <w:qFormat/>
    <w:rPr>
      <w:rFonts w:ascii="Tahoma" w:hAnsi="Tahoma"/>
      <w:sz w:val="24"/>
      <w:szCs w:val="20"/>
    </w:rPr>
  </w:style>
  <w:style w:type="paragraph" w:styleId="933">
    <w:name w:val="xl44"/>
    <w:basedOn w:val="777"/>
    <w:next w:val="933"/>
    <w:link w:val="77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34">
    <w:name w:val="1名"/>
    <w:basedOn w:val="777"/>
    <w:next w:val="934"/>
    <w:link w:val="777"/>
    <w:qFormat/>
    <w:pPr>
      <w:numPr>
        <w:ilvl w:val="0"/>
        <w:numId w:val="5"/>
      </w:numPr>
      <w:spacing w:before="120"/>
      <w:tabs>
        <w:tab w:val="left" w:pos="360" w:leader="none"/>
      </w:tabs>
    </w:pPr>
    <w:rPr>
      <w:rFonts w:ascii="宋体"/>
      <w:sz w:val="28"/>
      <w:szCs w:val="20"/>
    </w:rPr>
  </w:style>
  <w:style w:type="paragraph" w:styleId="935">
    <w:name w:val="font9"/>
    <w:basedOn w:val="777"/>
    <w:next w:val="935"/>
    <w:link w:val="777"/>
    <w:qFormat/>
    <w:pPr>
      <w:jc w:val="left"/>
      <w:spacing w:before="100" w:beforeAutospacing="1" w:after="100" w:afterAutospacing="1"/>
      <w:widowControl/>
    </w:pPr>
    <w:rPr>
      <w:rFonts w:hint="eastAsia" w:ascii="宋体" w:hAnsi="宋体" w:cs="Arial Unicode MS"/>
      <w:color w:val="000000"/>
      <w:sz w:val="20"/>
      <w:szCs w:val="20"/>
    </w:rPr>
  </w:style>
  <w:style w:type="paragraph" w:styleId="936">
    <w:name w:val="Char Char Char1 Char1"/>
    <w:basedOn w:val="777"/>
    <w:next w:val="936"/>
    <w:link w:val="777"/>
    <w:qFormat/>
    <w:rPr>
      <w:rFonts w:ascii="Tahoma" w:hAnsi="Tahoma"/>
      <w:sz w:val="24"/>
      <w:szCs w:val="20"/>
    </w:rPr>
  </w:style>
  <w:style w:type="paragraph" w:styleId="937">
    <w:name w:val="Char Char Char Char Char Char Char Char Char Char"/>
    <w:basedOn w:val="777"/>
    <w:next w:val="937"/>
    <w:link w:val="777"/>
    <w:qFormat/>
  </w:style>
  <w:style w:type="paragraph" w:styleId="938">
    <w:name w:val="Char Char1 Char Char Char Char Char Char Char Char"/>
    <w:basedOn w:val="777"/>
    <w:next w:val="938"/>
    <w:link w:val="777"/>
    <w:qFormat/>
    <w:pPr>
      <w:jc w:val="left"/>
      <w:spacing w:after="160" w:line="240" w:lineRule="exact"/>
      <w:widowControl/>
    </w:pPr>
    <w:rPr>
      <w:rFonts w:ascii="Verdana" w:hAnsi="Verdana"/>
      <w:sz w:val="20"/>
      <w:szCs w:val="20"/>
      <w:lang w:eastAsia="en-US"/>
    </w:rPr>
  </w:style>
  <w:style w:type="paragraph" w:styleId="939">
    <w:name w:val="Char1"/>
    <w:basedOn w:val="777"/>
    <w:next w:val="939"/>
    <w:link w:val="777"/>
    <w:qFormat/>
    <w:pPr>
      <w:tabs>
        <w:tab w:val="left" w:pos="360" w:leader="none"/>
      </w:tabs>
    </w:pPr>
    <w:rPr>
      <w:sz w:val="24"/>
    </w:rPr>
  </w:style>
  <w:style w:type="paragraph" w:styleId="940">
    <w:name w:val="正文列项_字母"/>
    <w:basedOn w:val="777"/>
    <w:next w:val="940"/>
    <w:link w:val="777"/>
    <w:qFormat/>
    <w:pPr>
      <w:numPr>
        <w:ilvl w:val="6"/>
        <w:numId w:val="1"/>
      </w:numPr>
      <w:ind w:left="480" w:hanging="180"/>
      <w:spacing w:line="460" w:lineRule="exact"/>
      <w:tabs>
        <w:tab w:val="clear" w:pos="635" w:leader="none"/>
      </w:tabs>
      <w:outlineLvl w:val="6"/>
    </w:pPr>
    <w:rPr>
      <w:rFonts w:ascii="宋体"/>
      <w:sz w:val="28"/>
      <w:szCs w:val="20"/>
    </w:rPr>
  </w:style>
  <w:style w:type="paragraph" w:styleId="941">
    <w:name w:val="xl28"/>
    <w:basedOn w:val="777"/>
    <w:next w:val="941"/>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2">
    <w:name w:val="xl47"/>
    <w:basedOn w:val="777"/>
    <w:next w:val="942"/>
    <w:link w:val="77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3">
    <w:name w:val="默认段落字体 Para Char Char Char Char"/>
    <w:basedOn w:val="777"/>
    <w:next w:val="943"/>
    <w:link w:val="777"/>
    <w:qFormat/>
    <w:rPr>
      <w:rFonts w:ascii="Arial" w:hAnsi="Arial" w:cs="Arial"/>
      <w:szCs w:val="21"/>
    </w:rPr>
  </w:style>
  <w:style w:type="paragraph" w:styleId="944">
    <w:name w:val="xl48"/>
    <w:basedOn w:val="777"/>
    <w:next w:val="944"/>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5">
    <w:name w:val="xl31"/>
    <w:basedOn w:val="777"/>
    <w:next w:val="945"/>
    <w:link w:val="7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6">
    <w:name w:val="xl53"/>
    <w:basedOn w:val="777"/>
    <w:next w:val="946"/>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7">
    <w:name w:val="Char Char Char"/>
    <w:basedOn w:val="777"/>
    <w:next w:val="947"/>
    <w:link w:val="777"/>
    <w:qFormat/>
    <w:rPr>
      <w:rFonts w:ascii="Tahoma" w:hAnsi="Tahoma"/>
      <w:sz w:val="24"/>
      <w:szCs w:val="20"/>
    </w:rPr>
  </w:style>
  <w:style w:type="paragraph" w:styleId="948">
    <w:name w:val="xl50"/>
    <w:basedOn w:val="777"/>
    <w:next w:val="948"/>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49">
    <w:name w:val="缺省文本"/>
    <w:basedOn w:val="777"/>
    <w:next w:val="949"/>
    <w:link w:val="777"/>
    <w:qFormat/>
    <w:pPr>
      <w:jc w:val="left"/>
    </w:pPr>
    <w:rPr>
      <w:sz w:val="24"/>
    </w:rPr>
  </w:style>
  <w:style w:type="paragraph" w:styleId="950">
    <w:name w:val="Char Char Char1"/>
    <w:basedOn w:val="777"/>
    <w:next w:val="950"/>
    <w:link w:val="777"/>
    <w:qFormat/>
    <w:rPr>
      <w:rFonts w:ascii="Tahoma" w:hAnsi="Tahoma"/>
      <w:sz w:val="24"/>
      <w:szCs w:val="20"/>
    </w:rPr>
  </w:style>
  <w:style w:type="paragraph" w:styleId="951">
    <w:name w:val="Char Char Char Char Char Char Char1"/>
    <w:basedOn w:val="777"/>
    <w:next w:val="951"/>
    <w:link w:val="777"/>
    <w:qFormat/>
    <w:pPr>
      <w:ind w:firstLine="200"/>
      <w:spacing w:line="360" w:lineRule="auto"/>
    </w:pPr>
    <w:rPr>
      <w:rFonts w:eastAsia="仿宋_GB2312"/>
      <w:sz w:val="24"/>
    </w:rPr>
  </w:style>
  <w:style w:type="paragraph" w:styleId="952">
    <w:name w:val="xl51"/>
    <w:basedOn w:val="777"/>
    <w:next w:val="952"/>
    <w:link w:val="7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3">
    <w:name w:val="样式2"/>
    <w:basedOn w:val="839"/>
    <w:next w:val="953"/>
    <w:link w:val="777"/>
    <w:qFormat/>
    <w:pPr>
      <w:jc w:val="center"/>
      <w:spacing w:line="360" w:lineRule="auto"/>
    </w:pPr>
    <w:rPr>
      <w:sz w:val="24"/>
    </w:rPr>
  </w:style>
  <w:style w:type="paragraph" w:styleId="954">
    <w:name w:val="xl24"/>
    <w:basedOn w:val="777"/>
    <w:next w:val="954"/>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5">
    <w:name w:val="xl29"/>
    <w:basedOn w:val="777"/>
    <w:next w:val="955"/>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6">
    <w:name w:val="正文 + 楷体_GB2312"/>
    <w:basedOn w:val="777"/>
    <w:next w:val="956"/>
    <w:link w:val="777"/>
    <w:qFormat/>
    <w:pPr>
      <w:jc w:val="left"/>
      <w:widowControl/>
    </w:pPr>
    <w:rPr>
      <w:rFonts w:ascii="楷体_GB2312" w:eastAsia="楷体_GB2312" w:cs="Arial"/>
      <w:sz w:val="24"/>
    </w:rPr>
  </w:style>
  <w:style w:type="paragraph" w:styleId="957">
    <w:name w:val="xl34"/>
    <w:basedOn w:val="777"/>
    <w:next w:val="957"/>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58">
    <w:name w:val="1 Char Char Char Char"/>
    <w:basedOn w:val="777"/>
    <w:next w:val="958"/>
    <w:link w:val="777"/>
    <w:qFormat/>
    <w:rPr>
      <w:rFonts w:ascii="Tahoma" w:hAnsi="Tahoma"/>
      <w:sz w:val="24"/>
      <w:szCs w:val="20"/>
    </w:rPr>
  </w:style>
  <w:style w:type="paragraph" w:styleId="959">
    <w:name w:val="Default"/>
    <w:next w:val="959"/>
    <w:link w:val="777"/>
    <w:qFormat/>
    <w:pPr>
      <w:widowControl w:val="off"/>
    </w:pPr>
    <w:rPr>
      <w:rFonts w:ascii="Symbol" w:hAnsi="Symbol" w:cs="Symbol"/>
      <w:color w:val="000000"/>
      <w:sz w:val="24"/>
      <w:szCs w:val="24"/>
      <w:lang w:val="en-US" w:eastAsia="zh-CN" w:bidi="ar-SA"/>
    </w:rPr>
  </w:style>
  <w:style w:type="paragraph" w:styleId="960">
    <w:name w:val="列出段落1"/>
    <w:basedOn w:val="777"/>
    <w:next w:val="960"/>
    <w:link w:val="777"/>
    <w:qFormat/>
    <w:pPr>
      <w:ind w:firstLine="420"/>
    </w:pPr>
    <w:rPr>
      <w:rFonts w:ascii="Calibri" w:hAnsi="Calibri"/>
      <w:szCs w:val="22"/>
    </w:rPr>
  </w:style>
  <w:style w:type="paragraph" w:styleId="961">
    <w:name w:val="default"/>
    <w:basedOn w:val="777"/>
    <w:next w:val="961"/>
    <w:link w:val="777"/>
    <w:qFormat/>
    <w:pPr>
      <w:jc w:val="left"/>
      <w:spacing w:before="100" w:beforeAutospacing="1" w:after="100" w:afterAutospacing="1"/>
      <w:widowControl/>
    </w:pPr>
    <w:rPr>
      <w:rFonts w:ascii="宋体" w:hAnsi="宋体" w:cs="宋体"/>
      <w:sz w:val="24"/>
    </w:rPr>
  </w:style>
  <w:style w:type="paragraph" w:styleId="962">
    <w:name w:val="字元 字元1"/>
    <w:basedOn w:val="777"/>
    <w:next w:val="962"/>
    <w:link w:val="777"/>
    <w:qFormat/>
    <w:rPr>
      <w:rFonts w:ascii="Tahoma" w:hAnsi="Tahoma"/>
      <w:sz w:val="24"/>
      <w:szCs w:val="20"/>
    </w:rPr>
  </w:style>
  <w:style w:type="paragraph" w:styleId="963">
    <w:name w:val="_Style 160"/>
    <w:next w:val="963"/>
    <w:link w:val="777"/>
    <w:qFormat/>
    <w:rPr>
      <w:sz w:val="21"/>
      <w:szCs w:val="24"/>
      <w:lang w:val="en-US" w:eastAsia="zh-CN" w:bidi="ar-SA"/>
    </w:rPr>
  </w:style>
  <w:style w:type="paragraph" w:styleId="964">
    <w:name w:val="项目编号3"/>
    <w:basedOn w:val="924"/>
    <w:next w:val="964"/>
    <w:link w:val="777"/>
    <w:qFormat/>
    <w:pPr>
      <w:numPr>
        <w:ilvl w:val="0"/>
        <w:numId w:val="6"/>
      </w:numPr>
    </w:pPr>
  </w:style>
  <w:style w:type="paragraph" w:styleId="965">
    <w:name w:val="Char21"/>
    <w:basedOn w:val="777"/>
    <w:next w:val="965"/>
    <w:link w:val="777"/>
    <w:qFormat/>
    <w:rPr>
      <w:rFonts w:ascii="Tahoma" w:hAnsi="Tahoma"/>
      <w:sz w:val="24"/>
      <w:szCs w:val="20"/>
    </w:rPr>
  </w:style>
  <w:style w:type="paragraph" w:styleId="966">
    <w:name w:val="表格文字"/>
    <w:basedOn w:val="810"/>
    <w:next w:val="966"/>
    <w:link w:val="777"/>
    <w:qFormat/>
    <w:pPr>
      <w:ind w:firstLine="0"/>
      <w:spacing w:before="20" w:after="20" w:line="240" w:lineRule="auto"/>
    </w:pPr>
    <w:rPr>
      <w:rFonts w:ascii="Century Gothic" w:hAnsi="Century Gothic"/>
      <w:sz w:val="20"/>
      <w:szCs w:val="20"/>
    </w:rPr>
  </w:style>
  <w:style w:type="paragraph" w:styleId="967">
    <w:name w:val="Char Char Char Char Char Char Char Char Char Char1"/>
    <w:basedOn w:val="777"/>
    <w:next w:val="967"/>
    <w:link w:val="777"/>
    <w:qFormat/>
    <w:rPr>
      <w:rFonts w:ascii="宋体" w:hAnsi="宋体" w:cs="Courier New"/>
      <w:sz w:val="32"/>
      <w:szCs w:val="32"/>
    </w:rPr>
  </w:style>
  <w:style w:type="paragraph" w:styleId="968">
    <w:name w:val="正文文本样式 加粗"/>
    <w:basedOn w:val="924"/>
    <w:next w:val="968"/>
    <w:link w:val="777"/>
    <w:qFormat/>
    <w:rPr>
      <w:b/>
    </w:rPr>
  </w:style>
  <w:style w:type="paragraph" w:styleId="969">
    <w:name w:val="Char2 Char Char Char Char Char Char"/>
    <w:basedOn w:val="777"/>
    <w:next w:val="969"/>
    <w:link w:val="777"/>
    <w:qFormat/>
    <w:pPr>
      <w:jc w:val="center"/>
      <w:spacing w:line="400" w:lineRule="exact"/>
      <w:widowControl/>
    </w:pPr>
  </w:style>
  <w:style w:type="paragraph" w:styleId="970">
    <w:name w:val="Char Char4"/>
    <w:basedOn w:val="777"/>
    <w:next w:val="970"/>
    <w:link w:val="777"/>
    <w:qFormat/>
    <w:pPr>
      <w:jc w:val="center"/>
      <w:spacing w:line="400" w:lineRule="exact"/>
      <w:widowControl/>
    </w:pPr>
  </w:style>
  <w:style w:type="paragraph" w:styleId="971">
    <w:name w:val="Char3 Char Char Char1"/>
    <w:basedOn w:val="777"/>
    <w:next w:val="971"/>
    <w:link w:val="777"/>
    <w:qFormat/>
    <w:rPr>
      <w:rFonts w:ascii="Tahoma" w:hAnsi="Tahoma"/>
      <w:sz w:val="24"/>
      <w:szCs w:val="20"/>
    </w:rPr>
  </w:style>
  <w:style w:type="paragraph" w:styleId="972">
    <w:name w:val="无间隔"/>
    <w:next w:val="972"/>
    <w:link w:val="777"/>
    <w:qFormat/>
    <w:pPr>
      <w:jc w:val="both"/>
      <w:widowControl w:val="off"/>
    </w:pPr>
    <w:rPr>
      <w:sz w:val="21"/>
      <w:szCs w:val="24"/>
      <w:lang w:val="en-US" w:eastAsia="zh-CN" w:bidi="ar-SA"/>
    </w:rPr>
  </w:style>
  <w:style w:type="paragraph" w:styleId="973">
    <w:name w:val="22222222222222"/>
    <w:basedOn w:val="777"/>
    <w:next w:val="973"/>
    <w:link w:val="777"/>
    <w:qFormat/>
    <w:pPr>
      <w:ind w:firstLine="480"/>
      <w:jc w:val="left"/>
      <w:spacing w:line="360" w:lineRule="auto"/>
      <w:widowControl/>
    </w:pPr>
    <w:rPr>
      <w:color w:val="ff0000"/>
      <w:sz w:val="24"/>
      <w:szCs w:val="20"/>
    </w:rPr>
  </w:style>
  <w:style w:type="character" w:styleId="974">
    <w:name w:val="中等深浅网格 1 - 强调文字颜色 2 Char"/>
    <w:next w:val="974"/>
    <w:link w:val="975"/>
    <w:qFormat/>
    <w:rPr>
      <w:sz w:val="21"/>
      <w:szCs w:val="24"/>
      <w:lang w:val="zh-CN" w:eastAsia="zh-CN" w:bidi="ar-SA"/>
    </w:rPr>
  </w:style>
  <w:style w:type="paragraph" w:styleId="975">
    <w:name w:val="1"/>
    <w:next w:val="975"/>
    <w:link w:val="974"/>
    <w:qFormat/>
    <w:rPr>
      <w:sz w:val="21"/>
      <w:szCs w:val="24"/>
      <w:lang w:val="zh-CN" w:eastAsia="zh-CN" w:bidi="ar-SA"/>
    </w:rPr>
  </w:style>
  <w:style w:type="paragraph" w:styleId="976">
    <w:name w:val="图文"/>
    <w:basedOn w:val="777"/>
    <w:next w:val="976"/>
    <w:link w:val="777"/>
    <w:qFormat/>
    <w:pPr>
      <w:spacing w:after="50" w:line="360" w:lineRule="auto"/>
    </w:pPr>
    <w:rPr>
      <w:sz w:val="24"/>
    </w:rPr>
  </w:style>
  <w:style w:type="paragraph" w:styleId="977">
    <w:name w:val="xl23"/>
    <w:basedOn w:val="777"/>
    <w:next w:val="977"/>
    <w:link w:val="777"/>
    <w:qFormat/>
    <w:pPr>
      <w:spacing w:before="100" w:beforeAutospacing="1" w:after="100" w:afterAutospacing="1" w:line="360" w:lineRule="auto"/>
      <w:widowControl/>
    </w:pPr>
    <w:rPr>
      <w:sz w:val="24"/>
      <w:szCs w:val="20"/>
    </w:rPr>
  </w:style>
  <w:style w:type="paragraph" w:styleId="978">
    <w:name w:val="正文表格"/>
    <w:basedOn w:val="777"/>
    <w:next w:val="978"/>
    <w:link w:val="979"/>
    <w:qFormat/>
    <w:pPr>
      <w:jc w:val="left"/>
    </w:pPr>
    <w:rPr>
      <w:rFonts w:ascii="宋体" w:hAnsi="宋体"/>
      <w:color w:val="000000"/>
      <w:szCs w:val="21"/>
    </w:rPr>
  </w:style>
  <w:style w:type="character" w:styleId="979">
    <w:name w:val="正文表格 Char"/>
    <w:next w:val="979"/>
    <w:link w:val="978"/>
    <w:qFormat/>
    <w:rPr>
      <w:rFonts w:ascii="宋体" w:hAnsi="宋体"/>
      <w:color w:val="000000"/>
      <w:sz w:val="21"/>
      <w:szCs w:val="21"/>
    </w:rPr>
  </w:style>
  <w:style w:type="paragraph" w:styleId="980">
    <w:name w:val="正文重点"/>
    <w:basedOn w:val="777"/>
    <w:next w:val="980"/>
    <w:link w:val="981"/>
    <w:qFormat/>
    <w:pPr>
      <w:ind w:firstLine="482"/>
      <w:jc w:val="left"/>
      <w:spacing w:line="360" w:lineRule="auto"/>
    </w:pPr>
    <w:rPr>
      <w:b/>
      <w:sz w:val="24"/>
      <w:szCs w:val="20"/>
    </w:rPr>
  </w:style>
  <w:style w:type="character" w:styleId="981">
    <w:name w:val="正文重点 Char"/>
    <w:next w:val="981"/>
    <w:link w:val="980"/>
    <w:qFormat/>
    <w:rPr>
      <w:b/>
      <w:sz w:val="24"/>
    </w:rPr>
  </w:style>
  <w:style w:type="paragraph" w:styleId="982">
    <w:name w:val="标题1-附件"/>
    <w:basedOn w:val="778"/>
    <w:next w:val="982"/>
    <w:link w:val="777"/>
    <w:qFormat/>
    <w:pPr>
      <w:jc w:val="left"/>
    </w:pPr>
    <w:rPr>
      <w:sz w:val="24"/>
      <w:szCs w:val="24"/>
    </w:rPr>
  </w:style>
  <w:style w:type="paragraph" w:styleId="983">
    <w:name w:val="正文小标题"/>
    <w:basedOn w:val="777"/>
    <w:next w:val="793"/>
    <w:link w:val="984"/>
    <w:qFormat/>
    <w:pPr>
      <w:ind w:firstLine="482"/>
      <w:jc w:val="left"/>
      <w:spacing w:before="312" w:after="312"/>
    </w:pPr>
    <w:rPr>
      <w:rFonts w:ascii="宋体" w:hAnsi="宋体"/>
      <w:b/>
      <w:i/>
      <w:color w:val="ff0000"/>
      <w:sz w:val="24"/>
      <w:szCs w:val="20"/>
    </w:rPr>
  </w:style>
  <w:style w:type="character" w:styleId="984">
    <w:name w:val="正文小标题 Char"/>
    <w:next w:val="984"/>
    <w:link w:val="983"/>
    <w:qFormat/>
    <w:rPr>
      <w:rFonts w:ascii="宋体" w:hAnsi="宋体"/>
      <w:b/>
      <w:i/>
      <w:color w:val="ff0000"/>
      <w:sz w:val="24"/>
    </w:rPr>
  </w:style>
  <w:style w:type="paragraph" w:styleId="985">
    <w:name w:val="正文大标题"/>
    <w:basedOn w:val="983"/>
    <w:next w:val="793"/>
    <w:link w:val="986"/>
    <w:qFormat/>
    <w:pPr>
      <w:jc w:val="center"/>
    </w:pPr>
    <w:rPr>
      <w:i w:val="0"/>
      <w:color w:val="000000"/>
      <w:sz w:val="28"/>
      <w:szCs w:val="21"/>
    </w:rPr>
  </w:style>
  <w:style w:type="character" w:styleId="986">
    <w:name w:val="正文大标题 Char"/>
    <w:next w:val="986"/>
    <w:link w:val="985"/>
    <w:qFormat/>
    <w:rPr>
      <w:rFonts w:ascii="宋体" w:hAnsi="宋体"/>
      <w:b/>
      <w:color w:val="000000"/>
      <w:sz w:val="28"/>
      <w:szCs w:val="21"/>
    </w:rPr>
  </w:style>
  <w:style w:type="paragraph" w:styleId="987">
    <w:name w:val="注释"/>
    <w:basedOn w:val="777"/>
    <w:next w:val="987"/>
    <w:link w:val="988"/>
    <w:qFormat/>
    <w:pPr>
      <w:ind w:left="420" w:hanging="420"/>
      <w:jc w:val="left"/>
    </w:pPr>
    <w:rPr>
      <w:rFonts w:ascii="宋体" w:hAnsi="宋体"/>
      <w:szCs w:val="21"/>
    </w:rPr>
  </w:style>
  <w:style w:type="character" w:styleId="988">
    <w:name w:val="注释 Char"/>
    <w:next w:val="988"/>
    <w:link w:val="987"/>
    <w:qFormat/>
    <w:rPr>
      <w:rFonts w:ascii="宋体" w:hAnsi="宋体"/>
      <w:sz w:val="21"/>
      <w:szCs w:val="21"/>
    </w:rPr>
  </w:style>
  <w:style w:type="paragraph" w:styleId="989">
    <w:name w:val="正文须知-1级"/>
    <w:basedOn w:val="777"/>
    <w:next w:val="777"/>
    <w:link w:val="777"/>
    <w:qFormat/>
    <w:pPr>
      <w:numPr>
        <w:ilvl w:val="0"/>
        <w:numId w:val="7"/>
      </w:numPr>
      <w:spacing w:line="300" w:lineRule="auto"/>
    </w:pPr>
    <w:rPr>
      <w:rFonts w:ascii="宋体" w:hAnsi="Calibri"/>
      <w:sz w:val="24"/>
      <w:szCs w:val="21"/>
    </w:rPr>
  </w:style>
  <w:style w:type="paragraph" w:styleId="990">
    <w:name w:val="正文须知-2级"/>
    <w:basedOn w:val="777"/>
    <w:next w:val="990"/>
    <w:link w:val="777"/>
    <w:qFormat/>
    <w:pPr>
      <w:numPr>
        <w:ilvl w:val="1"/>
        <w:numId w:val="7"/>
      </w:numPr>
      <w:spacing w:line="300" w:lineRule="auto"/>
    </w:pPr>
    <w:rPr>
      <w:rFonts w:ascii="宋体" w:hAnsi="Calibri"/>
      <w:sz w:val="24"/>
      <w:szCs w:val="21"/>
    </w:rPr>
  </w:style>
  <w:style w:type="paragraph" w:styleId="991">
    <w:name w:val="正文须知-3级"/>
    <w:basedOn w:val="777"/>
    <w:next w:val="991"/>
    <w:link w:val="777"/>
    <w:qFormat/>
    <w:pPr>
      <w:numPr>
        <w:ilvl w:val="2"/>
        <w:numId w:val="7"/>
      </w:numPr>
      <w:ind w:hanging="355"/>
      <w:spacing w:line="300" w:lineRule="auto"/>
    </w:pPr>
    <w:rPr>
      <w:rFonts w:ascii="宋体" w:hAnsi="Calibri"/>
      <w:sz w:val="24"/>
      <w:szCs w:val="21"/>
    </w:rPr>
  </w:style>
  <w:style w:type="character" w:styleId="992">
    <w:name w:val="纯文本 字符"/>
    <w:next w:val="992"/>
    <w:link w:val="777"/>
    <w:uiPriority w:val="99"/>
    <w:qFormat/>
    <w:rPr>
      <w:rFonts w:ascii="宋体" w:hAnsi="Courier New" w:eastAsia="宋体" w:cs="Times New Roman"/>
      <w:sz w:val="21"/>
      <w:szCs w:val="21"/>
      <w:lang w:val="en-US" w:eastAsia="zh-CN" w:bidi="ar-SA"/>
    </w:rPr>
  </w:style>
  <w:style w:type="paragraph" w:styleId="993">
    <w:name w:val="表格1"/>
    <w:basedOn w:val="777"/>
    <w:next w:val="993"/>
    <w:link w:val="777"/>
    <w:qFormat/>
    <w:pPr>
      <w:ind w:firstLine="480"/>
      <w:jc w:val="center"/>
    </w:pPr>
    <w:rPr>
      <w:sz w:val="24"/>
      <w:szCs w:val="20"/>
    </w:rPr>
  </w:style>
  <w:style w:type="character" w:styleId="994">
    <w:name w:val="纯文本 字符1"/>
    <w:next w:val="994"/>
    <w:link w:val="777"/>
    <w:qFormat/>
    <w:rPr>
      <w:rFonts w:ascii="宋体" w:hAnsi="Courier New"/>
    </w:rPr>
  </w:style>
  <w:style w:type="character" w:styleId="995">
    <w:name w:val="bjh-p"/>
    <w:next w:val="995"/>
    <w:link w:val="777"/>
    <w:qFormat/>
  </w:style>
  <w:style w:type="paragraph" w:styleId="996">
    <w:name w:val="无标题条"/>
    <w:next w:val="777"/>
    <w:link w:val="777"/>
    <w:qFormat/>
    <w:pPr>
      <w:jc w:val="both"/>
    </w:pPr>
    <w:rPr>
      <w:sz w:val="21"/>
      <w:lang w:val="en-US" w:eastAsia="zh-CN" w:bidi="ar-SA"/>
    </w:rPr>
  </w:style>
  <w:style w:type="character" w:styleId="997">
    <w:name w:val="正文格式 Char"/>
    <w:next w:val="997"/>
    <w:link w:val="998"/>
    <w:qFormat/>
    <w:rPr>
      <w:rFonts w:ascii="宋体" w:hAnsi="宋体"/>
      <w:sz w:val="24"/>
      <w:szCs w:val="24"/>
      <w:lang w:val="en-GB"/>
    </w:rPr>
  </w:style>
  <w:style w:type="paragraph" w:styleId="998">
    <w:name w:val="正文格式"/>
    <w:basedOn w:val="777"/>
    <w:next w:val="998"/>
    <w:link w:val="997"/>
    <w:qFormat/>
    <w:pPr>
      <w:ind w:firstLine="480"/>
      <w:spacing w:line="360" w:lineRule="auto"/>
    </w:pPr>
    <w:rPr>
      <w:rFonts w:ascii="宋体" w:hAnsi="宋体"/>
      <w:sz w:val="24"/>
      <w:lang w:val="en-GB"/>
    </w:rPr>
  </w:style>
  <w:style w:type="character" w:styleId="999">
    <w:name w:val="标题 3 Char"/>
    <w:next w:val="999"/>
    <w:link w:val="777"/>
    <w:qFormat/>
    <w:rPr>
      <w:rFonts w:ascii="宋体" w:eastAsia="宋体"/>
      <w:b/>
      <w:sz w:val="24"/>
      <w:u w:val="single"/>
      <w:lang w:val="en-US" w:eastAsia="zh-CN" w:bidi="ar-SA"/>
    </w:rPr>
  </w:style>
  <w:style w:type="character" w:styleId="1000">
    <w:name w:val="正文缩进 Char"/>
    <w:next w:val="1000"/>
    <w:link w:val="777"/>
    <w:qFormat/>
    <w:rPr>
      <w:rFonts w:ascii="宋体" w:eastAsia="宋体"/>
      <w:sz w:val="24"/>
      <w:szCs w:val="24"/>
      <w:lang w:val="en-US" w:eastAsia="zh-CN" w:bidi="ar-SA"/>
    </w:rPr>
  </w:style>
  <w:style w:type="character" w:styleId="1001">
    <w:name w:val="Char Char111"/>
    <w:next w:val="1001"/>
    <w:link w:val="777"/>
    <w:qFormat/>
    <w:rPr>
      <w:rFonts w:ascii="宋体" w:eastAsia="宋体"/>
      <w:b/>
      <w:sz w:val="24"/>
      <w:u w:val="single"/>
      <w:lang w:val="en-US" w:eastAsia="zh-CN" w:bidi="ar-SA"/>
    </w:rPr>
  </w:style>
  <w:style w:type="character" w:styleId="1002">
    <w:name w:val="正文文本缩进 Char"/>
    <w:next w:val="1002"/>
    <w:link w:val="777"/>
    <w:qFormat/>
    <w:rPr>
      <w:rFonts w:eastAsia="宋体"/>
      <w:sz w:val="24"/>
      <w:szCs w:val="24"/>
      <w:lang w:val="en-US" w:eastAsia="zh-CN" w:bidi="ar-SA"/>
    </w:rPr>
  </w:style>
  <w:style w:type="character" w:styleId="1003">
    <w:name w:val="列出段落 Char"/>
    <w:next w:val="1003"/>
    <w:link w:val="777"/>
    <w:qFormat/>
    <w:rPr>
      <w:rFonts w:ascii="Calibri" w:hAnsi="Calibri" w:eastAsia="宋体"/>
      <w:sz w:val="21"/>
      <w:szCs w:val="22"/>
      <w:lang w:val="en-US" w:eastAsia="zh-CN" w:bidi="ar-SA"/>
    </w:rPr>
  </w:style>
  <w:style w:type="character" w:styleId="1004">
    <w:name w:val="页眉 Char"/>
    <w:next w:val="1004"/>
    <w:link w:val="777"/>
    <w:qFormat/>
    <w:rPr>
      <w:rFonts w:eastAsia="宋体"/>
      <w:sz w:val="18"/>
      <w:szCs w:val="18"/>
      <w:lang w:val="en-US" w:eastAsia="zh-CN" w:bidi="ar-SA"/>
    </w:rPr>
  </w:style>
  <w:style w:type="character" w:styleId="1005">
    <w:name w:val="标题 2 Char"/>
    <w:next w:val="1005"/>
    <w:link w:val="777"/>
    <w:qFormat/>
    <w:rPr>
      <w:rFonts w:ascii="Arial" w:hAnsi="Arial" w:eastAsia="黑体"/>
      <w:b/>
      <w:sz w:val="30"/>
      <w:lang w:val="en-US" w:eastAsia="zh-CN" w:bidi="ar-SA"/>
    </w:rPr>
  </w:style>
  <w:style w:type="paragraph" w:styleId="1006">
    <w:name w:val="字元 字元2"/>
    <w:basedOn w:val="777"/>
    <w:next w:val="1006"/>
    <w:link w:val="777"/>
    <w:qFormat/>
    <w:rPr>
      <w:rFonts w:ascii="Tahoma" w:hAnsi="Tahoma"/>
      <w:sz w:val="24"/>
      <w:szCs w:val="20"/>
    </w:rPr>
  </w:style>
  <w:style w:type="paragraph" w:styleId="1007">
    <w:name w:val="Char3 Char Char Char2"/>
    <w:basedOn w:val="777"/>
    <w:next w:val="1007"/>
    <w:link w:val="777"/>
    <w:qFormat/>
    <w:rPr>
      <w:rFonts w:ascii="Tahoma" w:hAnsi="Tahoma"/>
      <w:sz w:val="24"/>
      <w:szCs w:val="20"/>
    </w:rPr>
  </w:style>
  <w:style w:type="paragraph" w:styleId="1008">
    <w:name w:val="正文文本缩进2"/>
    <w:basedOn w:val="777"/>
    <w:next w:val="1008"/>
    <w:link w:val="777"/>
    <w:qFormat/>
    <w:pPr>
      <w:ind w:firstLine="480"/>
      <w:spacing w:line="480" w:lineRule="exact"/>
    </w:pPr>
    <w:rPr>
      <w:rFonts w:ascii="宋体" w:hAnsi="宋体"/>
      <w:sz w:val="24"/>
      <w:lang w:val="zh-CN" w:eastAsia="zh-CN"/>
    </w:rPr>
  </w:style>
  <w:style w:type="paragraph" w:styleId="1009">
    <w:name w:val="Char3"/>
    <w:basedOn w:val="777"/>
    <w:next w:val="1009"/>
    <w:link w:val="777"/>
    <w:qFormat/>
    <w:pPr>
      <w:tabs>
        <w:tab w:val="left" w:pos="360" w:leader="none"/>
      </w:tabs>
    </w:pPr>
    <w:rPr>
      <w:sz w:val="24"/>
    </w:rPr>
  </w:style>
  <w:style w:type="paragraph" w:styleId="1010">
    <w:name w:val="Char Char Char Char Char Char Char Char Char Char Char Char Char Char Char Char1"/>
    <w:basedOn w:val="777"/>
    <w:next w:val="1010"/>
    <w:link w:val="777"/>
    <w:qFormat/>
    <w:pPr>
      <w:jc w:val="center"/>
      <w:spacing w:after="160" w:line="240" w:lineRule="exact"/>
      <w:widowControl/>
    </w:pPr>
    <w:rPr>
      <w:rFonts w:ascii="宋体" w:hAnsi="宋体"/>
      <w:b/>
      <w:sz w:val="30"/>
      <w:szCs w:val="30"/>
      <w:lang w:eastAsia="en-US"/>
    </w:rPr>
  </w:style>
  <w:style w:type="paragraph" w:styleId="1011">
    <w:name w:val="Char Char1 Char Char Char Char Char Char1"/>
    <w:basedOn w:val="777"/>
    <w:next w:val="1011"/>
    <w:link w:val="777"/>
    <w:qFormat/>
    <w:pPr>
      <w:jc w:val="left"/>
      <w:spacing w:after="160" w:line="240" w:lineRule="exact"/>
      <w:widowControl/>
    </w:pPr>
    <w:rPr>
      <w:rFonts w:ascii="Verdana" w:hAnsi="Verdana" w:eastAsia="仿宋_GB2312"/>
      <w:sz w:val="24"/>
      <w:szCs w:val="20"/>
      <w:lang w:eastAsia="en-US"/>
    </w:rPr>
  </w:style>
  <w:style w:type="paragraph" w:styleId="1012">
    <w:name w:val="列出段落2"/>
    <w:basedOn w:val="777"/>
    <w:next w:val="1012"/>
    <w:link w:val="777"/>
    <w:qFormat/>
    <w:pPr>
      <w:ind w:firstLine="420"/>
    </w:pPr>
    <w:rPr>
      <w:rFonts w:ascii="Calibri" w:hAnsi="Calibri"/>
      <w:szCs w:val="22"/>
    </w:rPr>
  </w:style>
  <w:style w:type="paragraph" w:styleId="1013">
    <w:name w:val="Char Char Char1 Char2"/>
    <w:basedOn w:val="777"/>
    <w:next w:val="1013"/>
    <w:link w:val="777"/>
    <w:qFormat/>
    <w:rPr>
      <w:rFonts w:ascii="Tahoma" w:hAnsi="Tahoma"/>
      <w:sz w:val="24"/>
      <w:szCs w:val="20"/>
    </w:rPr>
  </w:style>
  <w:style w:type="paragraph" w:styleId="1014">
    <w:name w:val="Char Char Char2"/>
    <w:basedOn w:val="777"/>
    <w:next w:val="1014"/>
    <w:link w:val="777"/>
    <w:qFormat/>
    <w:rPr>
      <w:rFonts w:ascii="Tahoma" w:hAnsi="Tahoma"/>
      <w:sz w:val="24"/>
      <w:szCs w:val="20"/>
    </w:rPr>
  </w:style>
  <w:style w:type="paragraph" w:styleId="1015">
    <w:name w:val="Char Char Char Char Char Char Char2"/>
    <w:basedOn w:val="777"/>
    <w:next w:val="1015"/>
    <w:link w:val="777"/>
    <w:qFormat/>
    <w:pPr>
      <w:ind w:firstLine="200"/>
      <w:spacing w:line="360" w:lineRule="auto"/>
    </w:pPr>
    <w:rPr>
      <w:rFonts w:eastAsia="仿宋_GB2312"/>
      <w:sz w:val="24"/>
    </w:rPr>
  </w:style>
  <w:style w:type="paragraph" w:styleId="1016">
    <w:name w:val="正文缩进2"/>
    <w:basedOn w:val="777"/>
    <w:next w:val="1016"/>
    <w:link w:val="777"/>
    <w:qFormat/>
    <w:pPr>
      <w:ind w:firstLine="567"/>
      <w:spacing w:line="480" w:lineRule="exact"/>
      <w:widowControl/>
    </w:pPr>
    <w:rPr>
      <w:rFonts w:ascii="宋体"/>
      <w:color w:val="000000"/>
      <w:sz w:val="28"/>
      <w:szCs w:val="20"/>
      <w:lang w:val="zh-CN" w:eastAsia="zh-CN"/>
    </w:rPr>
  </w:style>
  <w:style w:type="paragraph" w:styleId="1017">
    <w:name w:val="Revision"/>
    <w:next w:val="1017"/>
    <w:link w:val="777"/>
    <w:qFormat/>
    <w:rPr>
      <w:sz w:val="21"/>
      <w:szCs w:val="24"/>
      <w:lang w:val="en-US" w:eastAsia="zh-CN" w:bidi="ar-SA"/>
    </w:rPr>
  </w:style>
  <w:style w:type="paragraph" w:styleId="1018">
    <w:name w:val="Char22"/>
    <w:basedOn w:val="777"/>
    <w:next w:val="1018"/>
    <w:link w:val="777"/>
    <w:qFormat/>
    <w:rPr>
      <w:rFonts w:ascii="Tahoma" w:hAnsi="Tahoma"/>
      <w:sz w:val="24"/>
      <w:szCs w:val="20"/>
    </w:rPr>
  </w:style>
  <w:style w:type="paragraph" w:styleId="1019">
    <w:name w:val="Char Char Char Char Char Char Char Char Char Char2"/>
    <w:basedOn w:val="777"/>
    <w:next w:val="1019"/>
    <w:link w:val="777"/>
    <w:qFormat/>
    <w:rPr>
      <w:rFonts w:ascii="宋体" w:hAnsi="宋体" w:cs="Courier New"/>
      <w:sz w:val="32"/>
      <w:szCs w:val="32"/>
    </w:rPr>
  </w:style>
  <w:style w:type="paragraph" w:styleId="1020">
    <w:name w:val="Char2 Char Char Char Char Char Char1"/>
    <w:basedOn w:val="777"/>
    <w:next w:val="1020"/>
    <w:link w:val="777"/>
    <w:qFormat/>
    <w:pPr>
      <w:jc w:val="center"/>
      <w:spacing w:line="400" w:lineRule="exact"/>
      <w:widowControl/>
    </w:pPr>
  </w:style>
  <w:style w:type="character" w:styleId="1021">
    <w:name w:val="页脚 Char"/>
    <w:next w:val="1021"/>
    <w:link w:val="777"/>
    <w:qFormat/>
    <w:rPr>
      <w:rFonts w:ascii="宋体" w:eastAsia="宋体"/>
      <w:sz w:val="18"/>
      <w:lang w:val="en-US" w:eastAsia="zh-CN" w:bidi="ar-SA"/>
    </w:rPr>
  </w:style>
  <w:style w:type="paragraph" w:styleId="1022">
    <w:name w:val="Char Char41"/>
    <w:basedOn w:val="777"/>
    <w:next w:val="1022"/>
    <w:link w:val="777"/>
    <w:qFormat/>
    <w:pPr>
      <w:jc w:val="center"/>
      <w:spacing w:line="400" w:lineRule="exact"/>
      <w:widowControl/>
    </w:pPr>
  </w:style>
  <w:style w:type="character" w:styleId="1023">
    <w:name w:val="批注文字 Char"/>
    <w:next w:val="1023"/>
    <w:link w:val="777"/>
    <w:uiPriority w:val="99"/>
    <w:qFormat/>
    <w:rPr>
      <w:sz w:val="21"/>
      <w:szCs w:val="24"/>
    </w:rPr>
  </w:style>
  <w:style w:type="character" w:styleId="1024">
    <w:name w:val="标题 Char"/>
    <w:next w:val="1024"/>
    <w:link w:val="777"/>
    <w:qFormat/>
    <w:rPr>
      <w:b/>
      <w:sz w:val="32"/>
    </w:rPr>
  </w:style>
  <w:style w:type="paragraph" w:styleId="1025">
    <w:name w:val="图例"/>
    <w:basedOn w:val="777"/>
    <w:next w:val="1025"/>
    <w:link w:val="777"/>
    <w:qFormat/>
    <w:pPr>
      <w:jc w:val="center"/>
      <w:spacing w:before="120" w:after="120" w:line="360" w:lineRule="auto"/>
    </w:pPr>
    <w:rPr>
      <w:rFonts w:eastAsia="仿宋_GB2312"/>
      <w:b/>
      <w:sz w:val="24"/>
      <w:szCs w:val="20"/>
    </w:rPr>
  </w:style>
  <w:style w:type="table" w:styleId="1026">
    <w:name w:val="Table Normal"/>
    <w:next w:val="1026"/>
    <w:link w:val="777"/>
    <w:uiPriority w:val="2"/>
    <w:unhideWhenUsed/>
    <w:qFormat/>
    <w:pPr>
      <w:widowControl w:val="off"/>
    </w:pPr>
    <w:rPr>
      <w:rFonts w:ascii="Calibri" w:hAnsi="Calibri"/>
      <w:sz w:val="22"/>
      <w:szCs w:val="22"/>
      <w:lang w:val="en-US" w:eastAsia="en-US" w:bidi="ar-SA"/>
    </w:rPr>
    <w:tblPr/>
  </w:style>
  <w:style w:type="paragraph" w:styleId="1027">
    <w:name w:val="Table Paragraph"/>
    <w:basedOn w:val="777"/>
    <w:next w:val="1027"/>
    <w:link w:val="777"/>
    <w:uiPriority w:val="1"/>
    <w:qFormat/>
    <w:pPr>
      <w:jc w:val="left"/>
    </w:pPr>
    <w:rPr>
      <w:rFonts w:ascii="宋体" w:hAnsi="宋体" w:cs="宋体"/>
      <w:sz w:val="22"/>
      <w:szCs w:val="22"/>
      <w:lang w:eastAsia="en-US"/>
    </w:rPr>
  </w:style>
  <w:style w:type="paragraph" w:styleId="1028">
    <w:name w:val="成文日期"/>
    <w:basedOn w:val="777"/>
    <w:next w:val="1028"/>
    <w:link w:val="1029"/>
    <w:qFormat/>
    <w:pPr>
      <w:ind w:right="400" w:firstLine="200"/>
      <w:jc w:val="right"/>
      <w:spacing w:line="570" w:lineRule="exact"/>
    </w:pPr>
    <w:rPr>
      <w:rFonts w:ascii="仿宋_GB2312" w:eastAsia="仿宋_GB2312"/>
      <w:sz w:val="32"/>
      <w:szCs w:val="20"/>
    </w:rPr>
  </w:style>
  <w:style w:type="character" w:styleId="1029">
    <w:name w:val="成文日期 Char"/>
    <w:next w:val="1029"/>
    <w:link w:val="1028"/>
    <w:rPr>
      <w:rFonts w:ascii="仿宋_GB2312" w:eastAsia="仿宋_GB2312"/>
      <w:sz w:val="32"/>
    </w:rPr>
  </w:style>
  <w:style w:type="paragraph" w:styleId="1030">
    <w:name w:val="修订"/>
    <w:next w:val="1030"/>
    <w:link w:val="777"/>
    <w:uiPriority w:val="99"/>
    <w:unhideWhenUsed/>
    <w:rPr>
      <w:sz w:val="21"/>
      <w:szCs w:val="24"/>
      <w:lang w:val="en-US" w:eastAsia="zh-CN" w:bidi="ar-SA"/>
    </w:rPr>
  </w:style>
  <w:style w:type="character" w:styleId="1031">
    <w:name w:val="font61"/>
    <w:basedOn w:val="787"/>
    <w:next w:val="1031"/>
    <w:link w:val="777"/>
    <w:rPr>
      <w:rFonts w:hint="eastAsia" w:ascii="宋体" w:hAnsi="宋体" w:eastAsia="宋体" w:cs="宋体"/>
      <w:i w:val="0"/>
      <w:iCs w:val="0"/>
      <w:color w:val="000000"/>
      <w:sz w:val="20"/>
      <w:szCs w:val="20"/>
      <w:u w:val="none"/>
    </w:rPr>
  </w:style>
  <w:style w:type="paragraph" w:styleId="1032">
    <w:name w:val="正文文本1"/>
    <w:basedOn w:val="777"/>
    <w:next w:val="777"/>
    <w:link w:val="777"/>
    <w:qFormat/>
    <w:pPr>
      <w:spacing w:before="120" w:line="22" w:lineRule="atLeast"/>
      <w:tabs>
        <w:tab w:val="left" w:pos="567" w:leader="none"/>
      </w:tabs>
    </w:pPr>
    <w:rPr>
      <w:rFonts w:ascii="宋体" w:hAnsi="宋体"/>
      <w:sz w:val="24"/>
    </w:rPr>
  </w:style>
  <w:style w:type="paragraph" w:styleId="1033">
    <w:name w:val="表"/>
    <w:next w:val="1033"/>
    <w:link w:val="777"/>
    <w:qFormat/>
    <w:pPr>
      <w:jc w:val="both"/>
      <w:spacing w:line="312" w:lineRule="auto"/>
      <w:widowControl w:val="off"/>
    </w:pPr>
    <w:rPr>
      <w:rFonts w:ascii="Calibri" w:hAnsi="Calibri" w:eastAsia="宋体" w:cs="宋体"/>
      <w:sz w:val="21"/>
      <w:lang w:val="en-US" w:eastAsia="zh-CN" w:bidi="ar-SA"/>
    </w:rPr>
  </w:style>
  <w:style w:type="character" w:styleId="14769" w:default="1">
    <w:name w:val="Default Paragraph Font"/>
    <w:uiPriority w:val="1"/>
    <w:semiHidden/>
    <w:unhideWhenUsed/>
  </w:style>
  <w:style w:type="numbering" w:styleId="14770" w:default="1">
    <w:name w:val="No List"/>
    <w:uiPriority w:val="99"/>
    <w:semiHidden/>
    <w:unhideWhenUsed/>
  </w:style>
  <w:style w:type="table" w:styleId="147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蒋鑫晨</cp:lastModifiedBy>
  <cp:revision>5</cp:revision>
  <dcterms:created xsi:type="dcterms:W3CDTF">2022-05-30T08:08:00Z</dcterms:created>
  <dcterms:modified xsi:type="dcterms:W3CDTF">2026-03-12T08:32:37Z</dcterms:modified>
</cp:coreProperties>
</file>